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B6" w:rsidRPr="00846341" w:rsidRDefault="00B009B6" w:rsidP="00B009B6">
      <w:pPr>
        <w:tabs>
          <w:tab w:val="left" w:pos="2560"/>
        </w:tabs>
        <w:jc w:val="center"/>
        <w:rPr>
          <w:b/>
        </w:rPr>
      </w:pPr>
      <w:r>
        <w:rPr>
          <w:b/>
        </w:rPr>
        <w:t xml:space="preserve">    </w:t>
      </w:r>
      <w:r w:rsidRPr="00846341">
        <w:rPr>
          <w:b/>
        </w:rPr>
        <w:t>ДОВІДКА</w:t>
      </w:r>
    </w:p>
    <w:p w:rsidR="00F96EAB" w:rsidRDefault="00B009B6" w:rsidP="00B009B6">
      <w:pPr>
        <w:jc w:val="center"/>
        <w:rPr>
          <w:b/>
        </w:rPr>
      </w:pPr>
      <w:r w:rsidRPr="00846341">
        <w:rPr>
          <w:b/>
        </w:rPr>
        <w:t xml:space="preserve">про виконання бюджету Диканської </w:t>
      </w:r>
    </w:p>
    <w:p w:rsidR="00B009B6" w:rsidRPr="00846341" w:rsidRDefault="00B009B6" w:rsidP="00B009B6">
      <w:pPr>
        <w:jc w:val="center"/>
        <w:rPr>
          <w:b/>
        </w:rPr>
      </w:pPr>
      <w:r w:rsidRPr="00846341">
        <w:rPr>
          <w:b/>
        </w:rPr>
        <w:t xml:space="preserve">селищної територіальної громади </w:t>
      </w:r>
    </w:p>
    <w:p w:rsidR="00B009B6" w:rsidRDefault="005761D3" w:rsidP="00B009B6">
      <w:pPr>
        <w:jc w:val="center"/>
        <w:rPr>
          <w:b/>
        </w:rPr>
      </w:pPr>
      <w:r>
        <w:rPr>
          <w:b/>
        </w:rPr>
        <w:t xml:space="preserve">за </w:t>
      </w:r>
      <w:r w:rsidR="00521FE7">
        <w:rPr>
          <w:b/>
        </w:rPr>
        <w:t>січень-</w:t>
      </w:r>
      <w:r w:rsidR="00ED3965">
        <w:rPr>
          <w:b/>
        </w:rPr>
        <w:t>червень</w:t>
      </w:r>
      <w:r w:rsidR="00D14318">
        <w:rPr>
          <w:b/>
        </w:rPr>
        <w:t xml:space="preserve"> </w:t>
      </w:r>
      <w:r w:rsidR="00B009B6" w:rsidRPr="00846341">
        <w:rPr>
          <w:b/>
        </w:rPr>
        <w:t>202</w:t>
      </w:r>
      <w:r w:rsidR="00D14318">
        <w:rPr>
          <w:b/>
        </w:rPr>
        <w:t>4</w:t>
      </w:r>
      <w:r w:rsidR="00F96EAB">
        <w:rPr>
          <w:b/>
        </w:rPr>
        <w:t xml:space="preserve"> р</w:t>
      </w:r>
      <w:r w:rsidR="00781581">
        <w:rPr>
          <w:b/>
        </w:rPr>
        <w:t>о</w:t>
      </w:r>
      <w:r w:rsidR="00B009B6" w:rsidRPr="00846341">
        <w:rPr>
          <w:b/>
        </w:rPr>
        <w:t>к</w:t>
      </w:r>
      <w:r w:rsidR="00781581">
        <w:rPr>
          <w:b/>
        </w:rPr>
        <w:t>у</w:t>
      </w:r>
    </w:p>
    <w:p w:rsidR="00100E81" w:rsidRDefault="00100E81" w:rsidP="00B009B6">
      <w:pPr>
        <w:jc w:val="center"/>
        <w:rPr>
          <w:b/>
        </w:rPr>
      </w:pPr>
    </w:p>
    <w:p w:rsidR="00100E81" w:rsidRPr="00846341" w:rsidRDefault="00100E81" w:rsidP="00B009B6">
      <w:pPr>
        <w:jc w:val="center"/>
        <w:rPr>
          <w:b/>
        </w:rPr>
      </w:pPr>
      <w:r>
        <w:rPr>
          <w:b/>
        </w:rPr>
        <w:t>ДОХОДИ</w:t>
      </w:r>
    </w:p>
    <w:p w:rsidR="00B009B6" w:rsidRDefault="00B009B6" w:rsidP="00B009B6">
      <w:pPr>
        <w:ind w:firstLine="708"/>
        <w:jc w:val="center"/>
      </w:pPr>
    </w:p>
    <w:p w:rsidR="00616946" w:rsidRDefault="005761D3" w:rsidP="00616946">
      <w:pPr>
        <w:jc w:val="both"/>
      </w:pPr>
      <w:r>
        <w:tab/>
      </w:r>
      <w:r w:rsidR="00616946" w:rsidRPr="001514F2">
        <w:t xml:space="preserve">За </w:t>
      </w:r>
      <w:r w:rsidR="00616946">
        <w:t>січень-</w:t>
      </w:r>
      <w:r w:rsidR="00ED3965">
        <w:t>червень</w:t>
      </w:r>
      <w:r w:rsidR="00616946" w:rsidRPr="001514F2">
        <w:t xml:space="preserve"> 202</w:t>
      </w:r>
      <w:r w:rsidR="00616946">
        <w:t>4</w:t>
      </w:r>
      <w:r w:rsidR="00616946" w:rsidRPr="001514F2">
        <w:t xml:space="preserve"> року </w:t>
      </w:r>
      <w:r w:rsidR="00ED3965">
        <w:t xml:space="preserve">загальний фонд </w:t>
      </w:r>
      <w:r w:rsidR="00616946" w:rsidRPr="001514F2">
        <w:rPr>
          <w:b/>
        </w:rPr>
        <w:t>бюджет</w:t>
      </w:r>
      <w:r w:rsidR="00ED3965">
        <w:rPr>
          <w:b/>
        </w:rPr>
        <w:t>у</w:t>
      </w:r>
      <w:r w:rsidR="00616946" w:rsidRPr="001514F2">
        <w:rPr>
          <w:b/>
        </w:rPr>
        <w:t xml:space="preserve"> </w:t>
      </w:r>
      <w:r w:rsidR="00616946">
        <w:rPr>
          <w:b/>
        </w:rPr>
        <w:t>Диканської селищної</w:t>
      </w:r>
      <w:r w:rsidR="00616946" w:rsidRPr="001514F2">
        <w:rPr>
          <w:b/>
        </w:rPr>
        <w:t xml:space="preserve"> територіальної громади</w:t>
      </w:r>
      <w:r w:rsidR="00616946" w:rsidRPr="001514F2">
        <w:t xml:space="preserve"> </w:t>
      </w:r>
      <w:r w:rsidR="00616946" w:rsidRPr="001514F2">
        <w:rPr>
          <w:b/>
        </w:rPr>
        <w:t xml:space="preserve">за доходами </w:t>
      </w:r>
      <w:r w:rsidR="00616946" w:rsidRPr="001514F2">
        <w:t xml:space="preserve">виконано у сумі </w:t>
      </w:r>
      <w:r w:rsidR="00ED3965">
        <w:rPr>
          <w:b/>
        </w:rPr>
        <w:t>141 757,9</w:t>
      </w:r>
      <w:r w:rsidR="00616946" w:rsidRPr="001514F2">
        <w:rPr>
          <w:b/>
          <w:bCs/>
        </w:rPr>
        <w:t xml:space="preserve"> </w:t>
      </w:r>
      <w:r w:rsidR="00616946" w:rsidRPr="001514F2">
        <w:rPr>
          <w:b/>
        </w:rPr>
        <w:t>тис. грн</w:t>
      </w:r>
      <w:r w:rsidR="00A37AE9">
        <w:rPr>
          <w:b/>
        </w:rPr>
        <w:t>.</w:t>
      </w:r>
      <w:r w:rsidR="00616946" w:rsidRPr="001514F2">
        <w:t xml:space="preserve">, що становить </w:t>
      </w:r>
      <w:r w:rsidR="00ED3965">
        <w:t>50,1</w:t>
      </w:r>
      <w:r w:rsidR="00616946" w:rsidRPr="001514F2">
        <w:t xml:space="preserve">% до </w:t>
      </w:r>
      <w:r w:rsidR="00616946">
        <w:t xml:space="preserve">уточненого </w:t>
      </w:r>
      <w:r w:rsidR="00616946" w:rsidRPr="001514F2">
        <w:t xml:space="preserve">плану на рік та на </w:t>
      </w:r>
      <w:r w:rsidR="000952DB">
        <w:t xml:space="preserve">3 </w:t>
      </w:r>
      <w:r w:rsidR="0098169D">
        <w:t>0</w:t>
      </w:r>
      <w:r w:rsidR="000952DB">
        <w:t>42,8</w:t>
      </w:r>
      <w:r w:rsidR="00616946">
        <w:t xml:space="preserve"> тис. грн. або на </w:t>
      </w:r>
      <w:r w:rsidR="000952DB">
        <w:t>2,2</w:t>
      </w:r>
      <w:r w:rsidR="00616946">
        <w:t>%</w:t>
      </w:r>
      <w:r w:rsidR="00616946" w:rsidRPr="001514F2">
        <w:t xml:space="preserve"> більше надходжень за </w:t>
      </w:r>
      <w:r w:rsidR="00616946">
        <w:t xml:space="preserve">І </w:t>
      </w:r>
      <w:r w:rsidR="00ED3965">
        <w:t>півріччя</w:t>
      </w:r>
      <w:r w:rsidR="00616946">
        <w:t xml:space="preserve"> </w:t>
      </w:r>
      <w:r w:rsidR="00616946" w:rsidRPr="001514F2">
        <w:t>202</w:t>
      </w:r>
      <w:r w:rsidR="00616946">
        <w:t>3</w:t>
      </w:r>
      <w:r w:rsidR="00616946" w:rsidRPr="001514F2">
        <w:t xml:space="preserve"> року, в т</w:t>
      </w:r>
      <w:r w:rsidR="00616946">
        <w:t xml:space="preserve">ому </w:t>
      </w:r>
      <w:r w:rsidR="00616946" w:rsidRPr="001514F2">
        <w:t>ч</w:t>
      </w:r>
      <w:r w:rsidR="00616946">
        <w:t>ислі:</w:t>
      </w:r>
    </w:p>
    <w:p w:rsidR="007F6D0E" w:rsidRDefault="007F6D0E" w:rsidP="007F6D0E">
      <w:pPr>
        <w:pStyle w:val="af3"/>
        <w:numPr>
          <w:ilvl w:val="0"/>
          <w:numId w:val="14"/>
        </w:numPr>
        <w:jc w:val="both"/>
      </w:pPr>
      <w:r w:rsidRPr="002F004C">
        <w:rPr>
          <w:b/>
        </w:rPr>
        <w:t>власні надходження громади</w:t>
      </w:r>
      <w:r>
        <w:t xml:space="preserve"> (без</w:t>
      </w:r>
      <w:r w:rsidR="002E61DE">
        <w:t xml:space="preserve"> офіційних трансфертів) отримані в сумі</w:t>
      </w:r>
      <w:r w:rsidR="00DE2967">
        <w:t xml:space="preserve">            </w:t>
      </w:r>
      <w:r>
        <w:t xml:space="preserve"> </w:t>
      </w:r>
      <w:r w:rsidR="00ED3965">
        <w:rPr>
          <w:b/>
          <w:lang w:val="ru-RU"/>
        </w:rPr>
        <w:t xml:space="preserve">102 864,8 </w:t>
      </w:r>
      <w:r w:rsidRPr="00B65BF6">
        <w:rPr>
          <w:b/>
        </w:rPr>
        <w:t xml:space="preserve">тис. грн. </w:t>
      </w:r>
      <w:r w:rsidRPr="00701464">
        <w:t xml:space="preserve">або </w:t>
      </w:r>
      <w:r w:rsidR="00701464" w:rsidRPr="00701464">
        <w:t>виконано на</w:t>
      </w:r>
      <w:r w:rsidR="00701464">
        <w:rPr>
          <w:b/>
        </w:rPr>
        <w:t xml:space="preserve"> </w:t>
      </w:r>
      <w:r w:rsidR="00ED3965">
        <w:t>104</w:t>
      </w:r>
      <w:r w:rsidRPr="00701464">
        <w:t>,</w:t>
      </w:r>
      <w:r w:rsidR="00ED3965">
        <w:t>5</w:t>
      </w:r>
      <w:r w:rsidRPr="00701464">
        <w:t xml:space="preserve"> відсотка</w:t>
      </w:r>
      <w:r>
        <w:t xml:space="preserve"> до плану, </w:t>
      </w:r>
      <w:r w:rsidR="00A37AE9">
        <w:t xml:space="preserve">але </w:t>
      </w:r>
      <w:r>
        <w:t xml:space="preserve">на </w:t>
      </w:r>
      <w:r w:rsidR="000952DB">
        <w:t>1 190,5</w:t>
      </w:r>
      <w:r>
        <w:t xml:space="preserve"> тис. грн. </w:t>
      </w:r>
      <w:r w:rsidR="000952DB">
        <w:t>менше</w:t>
      </w:r>
      <w:r>
        <w:t xml:space="preserve"> ніж за </w:t>
      </w:r>
      <w:r w:rsidR="00277931">
        <w:t>перш</w:t>
      </w:r>
      <w:r w:rsidR="000952DB">
        <w:t>е</w:t>
      </w:r>
      <w:r w:rsidR="00DE2967">
        <w:t xml:space="preserve"> </w:t>
      </w:r>
      <w:r w:rsidR="000952DB">
        <w:t xml:space="preserve">півріччя </w:t>
      </w:r>
      <w:r>
        <w:t>минулого року (</w:t>
      </w:r>
      <w:r w:rsidR="000952DB">
        <w:t>-1,1</w:t>
      </w:r>
      <w:r>
        <w:t>%);</w:t>
      </w:r>
    </w:p>
    <w:p w:rsidR="007F6D0E" w:rsidRDefault="007F6D0E" w:rsidP="007F6D0E">
      <w:pPr>
        <w:pStyle w:val="af3"/>
        <w:numPr>
          <w:ilvl w:val="0"/>
          <w:numId w:val="14"/>
        </w:numPr>
        <w:jc w:val="both"/>
      </w:pPr>
      <w:r w:rsidRPr="002F004C">
        <w:rPr>
          <w:b/>
        </w:rPr>
        <w:t>офіційних трансфертів</w:t>
      </w:r>
      <w:r>
        <w:t xml:space="preserve"> отримано</w:t>
      </w:r>
      <w:r w:rsidR="00701464">
        <w:t xml:space="preserve"> в сумі</w:t>
      </w:r>
      <w:r>
        <w:t xml:space="preserve"> </w:t>
      </w:r>
      <w:r w:rsidR="000952DB">
        <w:rPr>
          <w:b/>
        </w:rPr>
        <w:t>38 893,1</w:t>
      </w:r>
      <w:r w:rsidRPr="00701464">
        <w:rPr>
          <w:b/>
        </w:rPr>
        <w:t xml:space="preserve"> тис.</w:t>
      </w:r>
      <w:r w:rsidR="00B65BF6" w:rsidRPr="00701464">
        <w:rPr>
          <w:b/>
        </w:rPr>
        <w:t xml:space="preserve"> </w:t>
      </w:r>
      <w:r w:rsidRPr="00701464">
        <w:rPr>
          <w:b/>
        </w:rPr>
        <w:t>грн</w:t>
      </w:r>
      <w:r w:rsidR="00B73147" w:rsidRPr="00701464">
        <w:rPr>
          <w:b/>
        </w:rPr>
        <w:t>.</w:t>
      </w:r>
      <w:r w:rsidR="00B73147">
        <w:t xml:space="preserve">  або </w:t>
      </w:r>
      <w:r w:rsidR="00DE2967">
        <w:t>99,</w:t>
      </w:r>
      <w:r w:rsidR="000952DB">
        <w:t>2</w:t>
      </w:r>
      <w:r w:rsidR="00B73147" w:rsidRPr="00701464">
        <w:t>%</w:t>
      </w:r>
      <w:r w:rsidR="00B73147">
        <w:t xml:space="preserve"> до плану, що на </w:t>
      </w:r>
      <w:r w:rsidR="000952DB">
        <w:t>4  233,</w:t>
      </w:r>
      <w:r w:rsidR="001E6C6B">
        <w:t>4</w:t>
      </w:r>
      <w:r w:rsidR="00B73147">
        <w:t xml:space="preserve"> тис. грн.</w:t>
      </w:r>
      <w:r w:rsidR="00DE2967">
        <w:t xml:space="preserve"> більше</w:t>
      </w:r>
      <w:r w:rsidR="00B73147">
        <w:t xml:space="preserve">, ніж за відповідний період </w:t>
      </w:r>
      <w:r w:rsidR="00DE2967">
        <w:t>2023</w:t>
      </w:r>
      <w:r w:rsidR="00B73147">
        <w:t xml:space="preserve"> року (</w:t>
      </w:r>
      <w:r w:rsidR="00DE2967">
        <w:t>біль</w:t>
      </w:r>
      <w:r w:rsidR="00277931">
        <w:t>ше на 1</w:t>
      </w:r>
      <w:r w:rsidR="000952DB">
        <w:t>2</w:t>
      </w:r>
      <w:r w:rsidR="00277931">
        <w:t>,</w:t>
      </w:r>
      <w:r w:rsidR="000952DB">
        <w:t>2</w:t>
      </w:r>
      <w:r w:rsidR="00B73147">
        <w:t>%)</w:t>
      </w:r>
      <w:r w:rsidR="00277931">
        <w:t>.</w:t>
      </w:r>
    </w:p>
    <w:p w:rsidR="005B39AD" w:rsidRDefault="005B39AD" w:rsidP="005B39AD">
      <w:pPr>
        <w:pStyle w:val="af3"/>
        <w:jc w:val="both"/>
      </w:pPr>
    </w:p>
    <w:p w:rsidR="002E61DE" w:rsidRDefault="002E61DE" w:rsidP="002E61DE">
      <w:pPr>
        <w:pStyle w:val="af3"/>
        <w:jc w:val="center"/>
        <w:rPr>
          <w:b/>
          <w:i/>
        </w:rPr>
      </w:pPr>
      <w:r w:rsidRPr="002E61DE">
        <w:rPr>
          <w:b/>
          <w:i/>
        </w:rPr>
        <w:t>Загальний фонд</w:t>
      </w:r>
    </w:p>
    <w:p w:rsidR="005B39AD" w:rsidRPr="002E61DE" w:rsidRDefault="005B39AD" w:rsidP="002E61DE">
      <w:pPr>
        <w:pStyle w:val="af3"/>
        <w:jc w:val="center"/>
        <w:rPr>
          <w:i/>
        </w:rPr>
      </w:pPr>
    </w:p>
    <w:p w:rsidR="00CF4785" w:rsidRDefault="00CF4785" w:rsidP="00CF4785">
      <w:pPr>
        <w:pStyle w:val="af3"/>
        <w:jc w:val="both"/>
      </w:pPr>
    </w:p>
    <w:p w:rsidR="00146203" w:rsidRPr="002833F7" w:rsidRDefault="006C70E4" w:rsidP="005761D3">
      <w:pPr>
        <w:jc w:val="both"/>
      </w:pPr>
      <w:r>
        <w:rPr>
          <w:color w:val="000000"/>
          <w:shd w:val="clear" w:color="auto" w:fill="FFFFFF"/>
        </w:rPr>
        <w:tab/>
      </w:r>
    </w:p>
    <w:p w:rsidR="00CF4785" w:rsidRDefault="001E6C6B" w:rsidP="002F004C">
      <w:pPr>
        <w:ind w:firstLine="142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E6618" wp14:editId="204F8F2C">
                <wp:simplePos x="0" y="0"/>
                <wp:positionH relativeFrom="column">
                  <wp:posOffset>2374900</wp:posOffset>
                </wp:positionH>
                <wp:positionV relativeFrom="paragraph">
                  <wp:posOffset>1419860</wp:posOffset>
                </wp:positionV>
                <wp:extent cx="1412286" cy="190516"/>
                <wp:effectExtent l="19050" t="171450" r="54610" b="171450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37593" flipV="1">
                          <a:off x="0" y="0"/>
                          <a:ext cx="1412286" cy="190516"/>
                        </a:xfrm>
                        <a:prstGeom prst="rightArrow">
                          <a:avLst>
                            <a:gd name="adj1" fmla="val 50000"/>
                            <a:gd name="adj2" fmla="val 154621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802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187pt;margin-top:111.8pt;width:111.2pt;height:15pt;rotation:-1024102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KfAAMAACkGAAAOAAAAZHJzL2Uyb0RvYy54bWysVNtuEzEQfUfiHyy/073k0iTqpqpaipAK&#10;VCqXZ8f2Zg1e29hONuEJ8Sf8QYXEC0jwC+kfMfam6ZYgHhD7sLvjy5mZM3Pm6HhVS7Tk1gmtCpwd&#10;pBhxRTUTal7gVy/PH40wcp4oRqRWvMBr7vDx9OGDo8ZMeK4rLRm3CECUmzSmwJX3ZpIkjla8Ju5A&#10;G65gs9S2Jh5MO0+YJQ2g1zLJ03SYNNoyYzXlzsHqWbuJpxG/LDn1L8rScY9kgSE2H982vmfhnUyP&#10;yGRuiakE3YZB/iGKmggFTndQZ8QTtLBiD6oW1GqnS39AdZ3oshSUxxwgmyz9LZurihgecwFynNnR&#10;5P4fLH2+vLRIsAIPMFKkhhJtPt98uvm4+br5vvm2uUabL5ufYF7D9wcaBMIa4yZw78pc2pCyMxea&#10;vnNI6dOKqDk/sVY3FScMwszC+eTehWA4uIpmzTPNwB9ZeB25W5W2RlZDjca9w8G4h1EphXkdUIIf&#10;IAutYuXWu8rxlUcUFrN+luejIUYU9rJxOsiG0TOZBNBw21jnn3Bdo/BTYCvmlY+RRmyyvHA+1o9t&#10;WSDsbQYB1BLaYUkkGqTwbNulcybvnskG/WHepkwmW8jkznUkS0vBzoWU0Qhdzk+lReABiKCUK9+P&#10;AclFDey068M717AM/dwu92+XwUXUS0ACtsHqOpEKNQXujTIIH9HaQKmdmkcn987tIFp0v2pZ7wYC&#10;EPC0JHQjiUt/jyKwfkZc1YJHxy1OLTwMACnqAo868KF/HisW5emJkO0/+JAqMMejtLc10wuAuKpY&#10;g5gItc1HvTGMHSZA571ROkzHhxgROYcBRb3FocXeCF9FdYVO+kMppN/PvtMBe8lDuaWpSJvd7uAe&#10;JbtIY5k6SUSJBFW06ppptgaFRC1A1WC+QlqVth8wamBWQQXfL4jlGMmnClQ2zvr9MNyi0R8c5mDY&#10;7s6su0MUBagCeyAl/p76diAuTFTFrd6UPgFllsLfSriNaqtnmEcxie3sDAOva8dTdxN++gsAAP//&#10;AwBQSwMEFAAGAAgAAAAhAGqIFMDiAAAACwEAAA8AAABkcnMvZG93bnJldi54bWxMj81OwzAQhO9I&#10;vIO1SFwQdUjblIY4FUJFQpWKROAB3HibX6+j2G3D27Oc4Lizo5lvss1ke3HG0TeOFDzMIhBIpTMN&#10;VQq+Pl/vH0H4oMno3hEq+EYPm/z6KtOpcRf6wHMRKsEh5FOtoA5hSKX0ZY1W+5kbkPh3dKPVgc+x&#10;kmbUFw63vYyjKJFWN8QNtR7wpcayK05WQVu3q/3+7a4x77ti3W6r7XHqOqVub6bnJxABp/Bnhl98&#10;RoecmQ7uRMaLXsF8teAtQUEczxMQ7FiukwWIAytLVmSeyf8b8h8AAAD//wMAUEsBAi0AFAAGAAgA&#10;AAAhALaDOJL+AAAA4QEAABMAAAAAAAAAAAAAAAAAAAAAAFtDb250ZW50X1R5cGVzXS54bWxQSwEC&#10;LQAUAAYACAAAACEAOP0h/9YAAACUAQAACwAAAAAAAAAAAAAAAAAvAQAAX3JlbHMvLnJlbHNQSwEC&#10;LQAUAAYACAAAACEA97LCnwADAAApBgAADgAAAAAAAAAAAAAAAAAuAgAAZHJzL2Uyb0RvYy54bWxQ&#10;SwECLQAUAAYACAAAACEAaogUwOIAAAALAQAADwAAAAAAAAAAAAAAAABaBQAAZHJzL2Rvd25yZXYu&#10;eG1sUEsFBgAAAAAEAAQA8wAAAGkGAAAAAA==&#10;" adj="17095" fillcolor="#ffd966 [1943]" strokecolor="black [3213]" strokeweight="3pt">
                <v:shadow on="t" color="#7f7f7f [1601]" opacity=".5" offset="1pt"/>
              </v:shape>
            </w:pict>
          </mc:Fallback>
        </mc:AlternateContent>
      </w:r>
      <w:r w:rsidR="009E341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DC611" wp14:editId="04246C98">
                <wp:simplePos x="0" y="0"/>
                <wp:positionH relativeFrom="column">
                  <wp:posOffset>2413626</wp:posOffset>
                </wp:positionH>
                <wp:positionV relativeFrom="paragraph">
                  <wp:posOffset>731251</wp:posOffset>
                </wp:positionV>
                <wp:extent cx="1271052" cy="181286"/>
                <wp:effectExtent l="0" t="190500" r="24765" b="257175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242549">
                          <a:off x="0" y="0"/>
                          <a:ext cx="1271052" cy="181286"/>
                        </a:xfrm>
                        <a:prstGeom prst="rightArrow">
                          <a:avLst>
                            <a:gd name="adj1" fmla="val 50000"/>
                            <a:gd name="adj2" fmla="val 12805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DD90" id="Стрелка вправо 6" o:spid="_x0000_s1026" type="#_x0000_t13" style="position:absolute;margin-left:190.05pt;margin-top:57.6pt;width:100.1pt;height:14.25pt;rotation:-148269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nA+gIAACEGAAAOAAAAZHJzL2Uyb0RvYy54bWysVM1uEzEQviPxDpbvdH+apGnUTVW1FCEV&#10;qFQQZ9f2Zg1ee7GdbMoJ8Sa8QYXEBSR4hfSNGM+m6ZZUHBB72LXH3m+++fnm4HBZa7KQzitrCprt&#10;pJRIw61QZlbQN69Pn4wp8YEZwbQ1sqBX0tPD6eNHB20zkbmtrBbSEQAxftI2Ba1CaCZJ4nkla+Z3&#10;bCMNHJbW1SzA1s0S4VgL6LVO8jQdJa11onGWS+/BetId0inil6Xk4VVZehmILihwC/h2+L6M72R6&#10;wCYzx5pK8TUN9g8saqYMON1AnbDAyNypLahacWe9LcMOt3Viy1JxiTFANFn6RzQXFWskxgLJ8c0m&#10;Tf7/wfKXi3NHlCjoiBLDaijR6svN55tPq2+rH6vvq2uy+rr6Bdtr+P4ko5iwtvET+O+iOXcxZN+c&#10;Wf7eE2OPK2Zm8sg521aSCaCZxfvJvR/ixsOv5LJ9YQX4Y/NgMXfL0tXEWahRnuaDfDjYRzMkiSyx&#10;YlebisllIByMWb6XpcOcEg5n2TjLx8gwYZMIFtk1zodn0tYkLgrq1KwKyBCx2eLMB6ybWEfPxLuM&#10;krLW0AYLpskwhWfdJr074PLuDriNJGKobLKGhNWta0yS1UqcKq1xE7tbHmtHwAMkgHNpQoaE9LyG&#10;rHT2wZ1rMEMfd+bRrRlcoE4iErr2fSfakLagu+MM6BNeN1Bib2bo5N69DUSHHpbbRAACni4JfSZo&#10;+juLmIMT5qsOHB13OLUKIHyt6oKOe/Cxb54agbIMTOluDT60iZmTKOl1zewcIC4q0RKhYm3z8e4+&#10;jBuhQN+743SU7u9RwvQMBhMPjsbWeqtChaqKnfRAKfQDZeh1wFbwUG7dVKyLbnNxKyUbplimXhAo&#10;jaiGTlWXVlyBMlADUDWYqxBWZd1HSlqYUVDBD3PmJCX6uQF17WeDQRxquBkM93LYuP7JZf+EGQ5Q&#10;BQ2QFFweh24QzhtURVRrTImxR6DIUoVb6Xas1jqGOYRBrGdmHHT9Pd66m+zT3wAAAP//AwBQSwME&#10;FAAGAAgAAAAhALNrrW7hAAAACwEAAA8AAABkcnMvZG93bnJldi54bWxMj8FOwzAMhu9IvENkJC6I&#10;JV3ZqErTCdB6QROCwYWb15i2okmqJtsKTz9zgqP9f/r9uVhNthcHGkPnnYZkpkCQq73pXKPh/a26&#10;zkCEiM5g7x1p+KYAq/L8rMDc+KN7pcM2NoJLXMhRQxvjkEsZ6pYshpkfyHH26UeLkcexkWbEI5fb&#10;Xs6VWkqLneMLLQ702FL9td1bDS949dAtf+rqA7vndbN+2mx8FbS+vJju70BEmuIfDL/6rA4lO+38&#10;3pkgeg1pphJGOUgWcxBMLDKVgtjx5ia9BVkW8v8P5QkAAP//AwBQSwECLQAUAAYACAAAACEAtoM4&#10;kv4AAADhAQAAEwAAAAAAAAAAAAAAAAAAAAAAW0NvbnRlbnRfVHlwZXNdLnhtbFBLAQItABQABgAI&#10;AAAAIQA4/SH/1gAAAJQBAAALAAAAAAAAAAAAAAAAAC8BAABfcmVscy8ucmVsc1BLAQItABQABgAI&#10;AAAAIQBTz+nA+gIAACEGAAAOAAAAAAAAAAAAAAAAAC4CAABkcnMvZTJvRG9jLnhtbFBLAQItABQA&#10;BgAIAAAAIQCza61u4QAAAAsBAAAPAAAAAAAAAAAAAAAAAFQFAABkcnMvZG93bnJldi54bWxQSwUG&#10;AAAAAAQABADzAAAAYgYAAAAA&#10;" adj="17655" fillcolor="#bdd6ee [1300]" strokecolor="black [3213]" strokeweight="3pt">
                <v:shadow on="t" color="#7f7f7f [1601]" opacity=".5" offset="1pt"/>
              </v:shape>
            </w:pict>
          </mc:Fallback>
        </mc:AlternateContent>
      </w:r>
      <w:r w:rsidR="00B009B6">
        <w:rPr>
          <w:noProof/>
          <w:lang w:eastAsia="uk-UA"/>
        </w:rPr>
        <w:drawing>
          <wp:inline distT="0" distB="0" distL="0" distR="0" wp14:anchorId="1935CEC9" wp14:editId="404AA2CD">
            <wp:extent cx="5913755" cy="37242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009B6">
        <w:tab/>
      </w:r>
    </w:p>
    <w:p w:rsidR="003E3FCB" w:rsidRDefault="003E3FCB" w:rsidP="002F004C">
      <w:pPr>
        <w:ind w:firstLine="142"/>
        <w:jc w:val="both"/>
        <w:sectPr w:rsidR="003E3FCB" w:rsidSect="001E6C6B">
          <w:headerReference w:type="even" r:id="rId9"/>
          <w:headerReference w:type="default" r:id="rId10"/>
          <w:pgSz w:w="11906" w:h="16838"/>
          <w:pgMar w:top="1134" w:right="567" w:bottom="1276" w:left="1701" w:header="709" w:footer="709" w:gutter="0"/>
          <w:cols w:space="708"/>
          <w:titlePg/>
          <w:docGrid w:linePitch="381"/>
        </w:sectPr>
      </w:pPr>
    </w:p>
    <w:p w:rsidR="0038255F" w:rsidRDefault="0038255F" w:rsidP="0038255F">
      <w:pPr>
        <w:spacing w:after="120"/>
        <w:ind w:firstLine="708"/>
        <w:jc w:val="both"/>
        <w:rPr>
          <w:b/>
        </w:rPr>
      </w:pPr>
      <w:r>
        <w:lastRenderedPageBreak/>
        <w:t xml:space="preserve">Питання виконання бюджету Диканської селищної територіальної громади перебуває на постійному контролі. </w:t>
      </w:r>
      <w:r w:rsidRPr="005160DD">
        <w:t xml:space="preserve">За </w:t>
      </w:r>
      <w:r>
        <w:t>січень-червень 2024 року</w:t>
      </w:r>
      <w:r w:rsidRPr="005160DD">
        <w:t xml:space="preserve"> </w:t>
      </w:r>
      <w:r>
        <w:t xml:space="preserve">забезпечено виконання всіх </w:t>
      </w:r>
      <w:r w:rsidRPr="005160DD">
        <w:t>планов</w:t>
      </w:r>
      <w:r>
        <w:t>их показників доходів</w:t>
      </w:r>
      <w:r w:rsidRPr="005160DD">
        <w:t xml:space="preserve"> по </w:t>
      </w:r>
      <w:r>
        <w:t xml:space="preserve">власних надходженнях загального фонду бюджету Диканської селищної  територіальної громади. </w:t>
      </w:r>
      <w:r>
        <w:rPr>
          <w:b/>
        </w:rPr>
        <w:t xml:space="preserve">Загальна сума перевиконання </w:t>
      </w:r>
      <w:r w:rsidRPr="001514F2">
        <w:rPr>
          <w:b/>
        </w:rPr>
        <w:t>планових показників</w:t>
      </w:r>
      <w:r w:rsidRPr="001514F2">
        <w:t xml:space="preserve"> </w:t>
      </w:r>
      <w:r>
        <w:t xml:space="preserve">по власних доходах загального фонду </w:t>
      </w:r>
      <w:r w:rsidRPr="001514F2">
        <w:t xml:space="preserve">становить </w:t>
      </w:r>
      <w:r>
        <w:rPr>
          <w:b/>
        </w:rPr>
        <w:t xml:space="preserve">4 393,9 тис. грн. </w:t>
      </w:r>
      <w:r w:rsidRPr="002F004C">
        <w:t>або</w:t>
      </w:r>
      <w:r>
        <w:rPr>
          <w:b/>
        </w:rPr>
        <w:t xml:space="preserve"> + 4,5%.</w:t>
      </w:r>
    </w:p>
    <w:p w:rsidR="00EA5D4F" w:rsidRDefault="002F004C" w:rsidP="00F570A8">
      <w:pPr>
        <w:pStyle w:val="af3"/>
        <w:ind w:left="0" w:firstLine="567"/>
        <w:jc w:val="both"/>
      </w:pPr>
      <w:r w:rsidRPr="001514F2">
        <w:rPr>
          <w:b/>
          <w:lang w:eastAsia="zh-CN"/>
        </w:rPr>
        <w:t xml:space="preserve">Найбільша частка </w:t>
      </w:r>
      <w:r w:rsidRPr="00CF4785">
        <w:t xml:space="preserve">в обсязі надходжень доходів </w:t>
      </w:r>
      <w:r w:rsidRPr="00CF4785">
        <w:rPr>
          <w:lang w:eastAsia="zh-CN"/>
        </w:rPr>
        <w:t xml:space="preserve">загального фонду бюджету </w:t>
      </w:r>
      <w:r w:rsidR="00CF4785">
        <w:rPr>
          <w:lang w:eastAsia="zh-CN"/>
        </w:rPr>
        <w:t>громади</w:t>
      </w:r>
      <w:r w:rsidRPr="00CF4785">
        <w:rPr>
          <w:lang w:eastAsia="zh-CN"/>
        </w:rPr>
        <w:t xml:space="preserve"> </w:t>
      </w:r>
      <w:r w:rsidRPr="00CF4785">
        <w:t>(без офіційних трансфертів)</w:t>
      </w:r>
      <w:r w:rsidRPr="001514F2">
        <w:rPr>
          <w:b/>
        </w:rPr>
        <w:t xml:space="preserve"> </w:t>
      </w:r>
      <w:r w:rsidRPr="001514F2">
        <w:rPr>
          <w:lang w:eastAsia="zh-CN"/>
        </w:rPr>
        <w:t xml:space="preserve">за </w:t>
      </w:r>
      <w:r w:rsidR="001E6C6B">
        <w:rPr>
          <w:lang w:eastAsia="zh-CN"/>
        </w:rPr>
        <w:t>шість місяців</w:t>
      </w:r>
      <w:r w:rsidRPr="001514F2">
        <w:rPr>
          <w:lang w:eastAsia="zh-CN"/>
        </w:rPr>
        <w:t xml:space="preserve"> 202</w:t>
      </w:r>
      <w:r w:rsidR="00CF4785">
        <w:rPr>
          <w:lang w:eastAsia="zh-CN"/>
        </w:rPr>
        <w:t>4</w:t>
      </w:r>
      <w:r w:rsidRPr="001514F2">
        <w:rPr>
          <w:lang w:eastAsia="zh-CN"/>
        </w:rPr>
        <w:t xml:space="preserve"> року, як і в попередніх </w:t>
      </w:r>
      <w:r w:rsidR="00CF4785">
        <w:rPr>
          <w:lang w:eastAsia="zh-CN"/>
        </w:rPr>
        <w:t xml:space="preserve">звітних </w:t>
      </w:r>
      <w:r w:rsidRPr="001514F2">
        <w:rPr>
          <w:lang w:eastAsia="zh-CN"/>
        </w:rPr>
        <w:t xml:space="preserve">періодах, </w:t>
      </w:r>
      <w:r w:rsidRPr="00CF4785">
        <w:rPr>
          <w:lang w:eastAsia="zh-CN"/>
        </w:rPr>
        <w:t>залишається за</w:t>
      </w:r>
      <w:r w:rsidRPr="001514F2">
        <w:rPr>
          <w:b/>
          <w:lang w:eastAsia="zh-CN"/>
        </w:rPr>
        <w:t xml:space="preserve"> податком </w:t>
      </w:r>
      <w:r w:rsidR="00146203" w:rsidRPr="00CF4785">
        <w:rPr>
          <w:b/>
        </w:rPr>
        <w:t>та зб</w:t>
      </w:r>
      <w:r w:rsidR="00CF4785" w:rsidRPr="00CF4785">
        <w:rPr>
          <w:b/>
        </w:rPr>
        <w:t>о</w:t>
      </w:r>
      <w:r w:rsidR="00146203" w:rsidRPr="00CF4785">
        <w:rPr>
          <w:b/>
        </w:rPr>
        <w:t>р</w:t>
      </w:r>
      <w:r w:rsidR="00CF4785" w:rsidRPr="00CF4785">
        <w:rPr>
          <w:b/>
        </w:rPr>
        <w:t>ом</w:t>
      </w:r>
      <w:r w:rsidR="00146203" w:rsidRPr="00CF4785">
        <w:rPr>
          <w:b/>
        </w:rPr>
        <w:t xml:space="preserve"> на доходи з фізичних осіб</w:t>
      </w:r>
      <w:r w:rsidR="00CF4785">
        <w:rPr>
          <w:b/>
        </w:rPr>
        <w:t xml:space="preserve"> – 6</w:t>
      </w:r>
      <w:r w:rsidR="001B342F">
        <w:rPr>
          <w:b/>
        </w:rPr>
        <w:t>4,5</w:t>
      </w:r>
      <w:r w:rsidR="00CF4785">
        <w:rPr>
          <w:b/>
        </w:rPr>
        <w:t xml:space="preserve">%, </w:t>
      </w:r>
      <w:r w:rsidR="00CF4785" w:rsidRPr="00CF4785">
        <w:t>який</w:t>
      </w:r>
      <w:r w:rsidR="00146203" w:rsidRPr="00EB625D">
        <w:t xml:space="preserve"> виконано на </w:t>
      </w:r>
      <w:r w:rsidR="00630542" w:rsidRPr="00EB625D">
        <w:t>1</w:t>
      </w:r>
      <w:r w:rsidR="00560F8D">
        <w:t>0</w:t>
      </w:r>
      <w:r w:rsidR="001B342F">
        <w:t>3,6</w:t>
      </w:r>
      <w:r w:rsidR="00CF4785">
        <w:t>%</w:t>
      </w:r>
      <w:r w:rsidR="00EA5D4F">
        <w:t>. П</w:t>
      </w:r>
      <w:r w:rsidR="00CF4785">
        <w:t xml:space="preserve">ри </w:t>
      </w:r>
      <w:r w:rsidR="00146203" w:rsidRPr="00EB625D">
        <w:t>план</w:t>
      </w:r>
      <w:r w:rsidR="00CF4785">
        <w:t>ові</w:t>
      </w:r>
      <w:r w:rsidR="003A113F">
        <w:t xml:space="preserve"> </w:t>
      </w:r>
      <w:r w:rsidR="001B342F">
        <w:t>64 046,6</w:t>
      </w:r>
      <w:r w:rsidR="00630542" w:rsidRPr="00EB625D">
        <w:t xml:space="preserve"> </w:t>
      </w:r>
      <w:r w:rsidR="00146203" w:rsidRPr="00EB625D">
        <w:t>тис. грн. факт</w:t>
      </w:r>
      <w:r w:rsidR="00CF4785">
        <w:t>ично отримано</w:t>
      </w:r>
      <w:r w:rsidR="00146203" w:rsidRPr="00EB625D">
        <w:t xml:space="preserve"> </w:t>
      </w:r>
      <w:r w:rsidR="003A113F">
        <w:t xml:space="preserve">податку в сумі </w:t>
      </w:r>
      <w:r w:rsidR="001B342F">
        <w:t>66 36</w:t>
      </w:r>
      <w:r w:rsidR="002B674A">
        <w:t>7,0</w:t>
      </w:r>
      <w:r w:rsidR="00146203" w:rsidRPr="00EB625D">
        <w:t xml:space="preserve"> тис. грн., </w:t>
      </w:r>
      <w:r w:rsidR="001B342F">
        <w:t xml:space="preserve">але </w:t>
      </w:r>
      <w:r w:rsidR="00146203" w:rsidRPr="00EB625D">
        <w:t xml:space="preserve">до надходжень за </w:t>
      </w:r>
      <w:r w:rsidR="00C83973" w:rsidRPr="00EB625D">
        <w:t xml:space="preserve">відповідний період минулого року </w:t>
      </w:r>
      <w:r w:rsidR="001B342F">
        <w:t>менше на 10,1</w:t>
      </w:r>
      <w:r w:rsidR="00146203" w:rsidRPr="00EB625D">
        <w:t xml:space="preserve">% або </w:t>
      </w:r>
      <w:r w:rsidR="004258AF" w:rsidRPr="00EB625D">
        <w:t xml:space="preserve">отримано </w:t>
      </w:r>
      <w:r w:rsidR="001B342F">
        <w:t xml:space="preserve">менше </w:t>
      </w:r>
      <w:r w:rsidR="004258AF" w:rsidRPr="00EB625D">
        <w:t xml:space="preserve">на </w:t>
      </w:r>
      <w:r w:rsidR="001B342F">
        <w:t>7 484,</w:t>
      </w:r>
      <w:r w:rsidR="00E829FC">
        <w:t>0</w:t>
      </w:r>
      <w:r w:rsidR="001B342F">
        <w:t xml:space="preserve"> </w:t>
      </w:r>
      <w:r w:rsidR="00146203" w:rsidRPr="00EB625D">
        <w:t>тис. грн.</w:t>
      </w:r>
      <w:r w:rsidR="0018797E">
        <w:t xml:space="preserve"> </w:t>
      </w:r>
      <w:r w:rsidR="001B342F">
        <w:t>Зниження</w:t>
      </w:r>
      <w:r w:rsidR="00C57DBA">
        <w:t xml:space="preserve"> надходження податку </w:t>
      </w:r>
      <w:proofErr w:type="spellStart"/>
      <w:r w:rsidR="00EA5D4F">
        <w:t>виникло</w:t>
      </w:r>
      <w:proofErr w:type="spellEnd"/>
      <w:r w:rsidR="00EA5D4F">
        <w:t xml:space="preserve"> в результаті</w:t>
      </w:r>
      <w:r w:rsidR="00C57DBA">
        <w:t xml:space="preserve"> </w:t>
      </w:r>
      <w:proofErr w:type="spellStart"/>
      <w:r w:rsidR="00C57DBA">
        <w:t>незарахування</w:t>
      </w:r>
      <w:proofErr w:type="spellEnd"/>
      <w:r w:rsidR="00C57DBA">
        <w:t xml:space="preserve"> до місцевого бюджету п</w:t>
      </w:r>
      <w:r w:rsidR="00C57DBA" w:rsidRPr="00C57DBA">
        <w:t>одатк</w:t>
      </w:r>
      <w:r w:rsidR="00C57DBA">
        <w:t>у</w:t>
      </w:r>
      <w:r w:rsidR="00C57DBA" w:rsidRPr="00C57DBA">
        <w:t xml:space="preserve"> на доходи фізичних осіб з грошового забезпечення, грошових винагород та інших виплат, одержаних військовослужбовцями, поліцейськими та особами рядового і начальницького складу, що сплачується податковими агентами</w:t>
      </w:r>
      <w:r w:rsidR="00C57DBA">
        <w:t xml:space="preserve"> </w:t>
      </w:r>
      <w:r w:rsidR="001B342F">
        <w:t>і</w:t>
      </w:r>
      <w:r w:rsidR="00C57DBA">
        <w:t xml:space="preserve"> відповідно бюджет громади </w:t>
      </w:r>
      <w:r w:rsidR="003A113F">
        <w:t xml:space="preserve">втратив близько </w:t>
      </w:r>
      <w:r w:rsidR="001B342F">
        <w:t>5 053,6</w:t>
      </w:r>
      <w:r w:rsidR="00C57DBA">
        <w:t xml:space="preserve"> тис. грн. (факт надходження за січень-</w:t>
      </w:r>
      <w:r w:rsidR="001B342F">
        <w:t>червень</w:t>
      </w:r>
      <w:r w:rsidR="00C57DBA">
        <w:t xml:space="preserve"> 2023 року).</w:t>
      </w:r>
      <w:r w:rsidR="001B342F">
        <w:t xml:space="preserve"> Також у поточному році </w:t>
      </w:r>
      <w:r w:rsidR="00F570A8">
        <w:t xml:space="preserve">отримано менше </w:t>
      </w:r>
      <w:r w:rsidR="00F570A8" w:rsidRPr="00EB625D">
        <w:t xml:space="preserve">податку </w:t>
      </w:r>
      <w:r w:rsidR="00F570A8">
        <w:t>н</w:t>
      </w:r>
      <w:r w:rsidR="00F570A8" w:rsidRPr="00F570A8">
        <w:t>а доходи фізичних осіб, що сплачується податковими агентами, із доходів платника податку інших ніж заробітна плата</w:t>
      </w:r>
      <w:r w:rsidR="00F570A8">
        <w:t xml:space="preserve">, а саме дивідендів, сплачених </w:t>
      </w:r>
      <w:r w:rsidR="00F570A8" w:rsidRPr="00EB625D">
        <w:t>ТОВ «</w:t>
      </w:r>
      <w:proofErr w:type="spellStart"/>
      <w:r w:rsidR="00F570A8" w:rsidRPr="00EB625D">
        <w:t>Укролія</w:t>
      </w:r>
      <w:proofErr w:type="spellEnd"/>
      <w:r w:rsidR="00F570A8" w:rsidRPr="00EB625D">
        <w:t>»</w:t>
      </w:r>
      <w:r w:rsidR="00F570A8">
        <w:t>, на 9 808,6 тис. грн.</w:t>
      </w:r>
      <w:r w:rsidR="00EA5D4F">
        <w:t xml:space="preserve"> </w:t>
      </w:r>
      <w:r w:rsidR="00B41F69">
        <w:t>ніж у 2023 році.</w:t>
      </w:r>
    </w:p>
    <w:p w:rsidR="00EA5D4F" w:rsidRDefault="00EA5D4F" w:rsidP="00F570A8">
      <w:pPr>
        <w:pStyle w:val="af3"/>
        <w:ind w:left="0" w:firstLine="567"/>
        <w:jc w:val="both"/>
      </w:pPr>
      <w:r>
        <w:t>У звітному періоді до місцевого бюджету зараховано п</w:t>
      </w:r>
      <w:r w:rsidRPr="00EA5D4F">
        <w:t>одаток на доходи фізичних осіб у вигляді мінімального податкового зобов’язання, що підлягає сплаті фізичними особами</w:t>
      </w:r>
      <w:r>
        <w:t xml:space="preserve">, в сумі 226,1 тис. грн., що складає 101,2% від планових показників – </w:t>
      </w:r>
      <w:r w:rsidR="008E1304">
        <w:t xml:space="preserve">у </w:t>
      </w:r>
      <w:r>
        <w:t>першому півріччі 2023 року даний податок не надходив.</w:t>
      </w:r>
    </w:p>
    <w:p w:rsidR="00EB625D" w:rsidRPr="00560F8D" w:rsidRDefault="00EA5D4F" w:rsidP="00EA5D4F">
      <w:pPr>
        <w:pStyle w:val="af3"/>
        <w:ind w:left="0" w:firstLine="567"/>
        <w:jc w:val="both"/>
        <w:rPr>
          <w:lang w:val="ru-RU"/>
        </w:rPr>
      </w:pPr>
      <w:r>
        <w:t xml:space="preserve"> </w:t>
      </w:r>
      <w:r w:rsidR="00EB625D" w:rsidRPr="00097AA1">
        <w:t>Рентна плата та плата за використання інших природних</w:t>
      </w:r>
      <w:r w:rsidR="00EB625D" w:rsidRPr="00B50DBD">
        <w:t xml:space="preserve"> ресурсів  виконана на 1</w:t>
      </w:r>
      <w:r w:rsidR="006C1198">
        <w:t>0</w:t>
      </w:r>
      <w:r w:rsidR="00EB625D" w:rsidRPr="00B50DBD">
        <w:t>1</w:t>
      </w:r>
      <w:r w:rsidR="0018797E">
        <w:t>,</w:t>
      </w:r>
      <w:r w:rsidR="006C1198">
        <w:t>9</w:t>
      </w:r>
      <w:r w:rsidR="00EB625D" w:rsidRPr="00B50DBD">
        <w:t xml:space="preserve">%  (план – </w:t>
      </w:r>
      <w:r w:rsidR="006C1198">
        <w:t>947,1</w:t>
      </w:r>
      <w:r w:rsidR="00EB625D" w:rsidRPr="00B50DBD">
        <w:t xml:space="preserve"> тис. грн., факт </w:t>
      </w:r>
      <w:r w:rsidR="00EB625D">
        <w:t>–</w:t>
      </w:r>
      <w:r w:rsidR="00EB625D" w:rsidRPr="00B50DBD">
        <w:t xml:space="preserve"> </w:t>
      </w:r>
      <w:r w:rsidR="006C1198">
        <w:t>964,7</w:t>
      </w:r>
      <w:r w:rsidR="00EB625D" w:rsidRPr="00B50DBD">
        <w:t xml:space="preserve"> тис. грн.), що менше на </w:t>
      </w:r>
      <w:r w:rsidR="006C1198">
        <w:t>48,7</w:t>
      </w:r>
      <w:r w:rsidR="00EB625D" w:rsidRPr="00B50DBD">
        <w:t xml:space="preserve"> тис. грн. ніж надходження за І </w:t>
      </w:r>
      <w:r w:rsidR="006C1198">
        <w:t>півріччя</w:t>
      </w:r>
      <w:r w:rsidR="00EB625D" w:rsidRPr="00B50DBD">
        <w:t xml:space="preserve"> 202</w:t>
      </w:r>
      <w:r w:rsidR="0018797E">
        <w:t>3</w:t>
      </w:r>
      <w:r w:rsidR="00EB625D" w:rsidRPr="00B50DBD">
        <w:t xml:space="preserve"> року або –</w:t>
      </w:r>
      <w:r w:rsidR="006C1198">
        <w:t>4,8</w:t>
      </w:r>
      <w:r w:rsidR="00EB625D" w:rsidRPr="00B50DBD">
        <w:t>%. Частка</w:t>
      </w:r>
      <w:r w:rsidR="00EB625D">
        <w:t xml:space="preserve"> у </w:t>
      </w:r>
      <w:r w:rsidR="00EB625D" w:rsidRPr="00560F8D">
        <w:rPr>
          <w:rFonts w:eastAsia="Calibri"/>
          <w:noProof/>
          <w:lang w:eastAsia="en-US"/>
        </w:rPr>
        <w:t>власних надходжен</w:t>
      </w:r>
      <w:r w:rsidR="00B41F69">
        <w:rPr>
          <w:rFonts w:eastAsia="Calibri"/>
          <w:noProof/>
          <w:lang w:eastAsia="en-US"/>
        </w:rPr>
        <w:t>нях</w:t>
      </w:r>
      <w:r w:rsidR="00EB625D" w:rsidRPr="00560F8D">
        <w:rPr>
          <w:rFonts w:eastAsia="Calibri"/>
          <w:noProof/>
          <w:lang w:eastAsia="en-US"/>
        </w:rPr>
        <w:t xml:space="preserve"> загального фонду  місцевого бюджету  становить </w:t>
      </w:r>
      <w:r w:rsidR="006C1198">
        <w:rPr>
          <w:rFonts w:eastAsia="Calibri"/>
          <w:noProof/>
          <w:lang w:eastAsia="en-US"/>
        </w:rPr>
        <w:t>0,9</w:t>
      </w:r>
      <w:r w:rsidR="00EB625D" w:rsidRPr="00560F8D">
        <w:rPr>
          <w:rFonts w:eastAsia="Calibri"/>
          <w:noProof/>
          <w:lang w:eastAsia="en-US"/>
        </w:rPr>
        <w:t xml:space="preserve">%. </w:t>
      </w:r>
    </w:p>
    <w:p w:rsidR="00EB625D" w:rsidRPr="005D0A3F" w:rsidRDefault="00EB625D" w:rsidP="005D0A3F">
      <w:pPr>
        <w:ind w:firstLine="709"/>
        <w:jc w:val="both"/>
        <w:rPr>
          <w:lang w:val="ru-RU"/>
        </w:rPr>
      </w:pPr>
      <w:r w:rsidRPr="005D0A3F">
        <w:rPr>
          <w:rFonts w:eastAsia="Calibri"/>
          <w:noProof/>
          <w:lang w:eastAsia="en-US"/>
        </w:rPr>
        <w:t xml:space="preserve">Внутрішні податки на товари та послуги (акциз) </w:t>
      </w:r>
      <w:r w:rsidRPr="00EC7D1E">
        <w:t xml:space="preserve">виконано на </w:t>
      </w:r>
      <w:r w:rsidR="006C1198">
        <w:t>113,9</w:t>
      </w:r>
      <w:r w:rsidRPr="00EC7D1E">
        <w:t>%</w:t>
      </w:r>
      <w:r w:rsidR="00EC4473">
        <w:t>:</w:t>
      </w:r>
      <w:r>
        <w:t xml:space="preserve">   </w:t>
      </w:r>
      <w:r w:rsidRPr="00EC7D1E">
        <w:t xml:space="preserve"> </w:t>
      </w:r>
      <w:r w:rsidR="00EC4473">
        <w:t xml:space="preserve">при </w:t>
      </w:r>
      <w:r w:rsidRPr="005160DD">
        <w:t>план</w:t>
      </w:r>
      <w:r w:rsidR="00EC4473">
        <w:t>ові на звітний період</w:t>
      </w:r>
      <w:r w:rsidR="005D0A3F">
        <w:t xml:space="preserve"> </w:t>
      </w:r>
      <w:r w:rsidR="006C1198">
        <w:t>3 129,4</w:t>
      </w:r>
      <w:r w:rsidRPr="005160DD">
        <w:t xml:space="preserve"> тис. грн. факт</w:t>
      </w:r>
      <w:r w:rsidR="00EC4473">
        <w:t>ично зараховано до бюджету податку</w:t>
      </w:r>
      <w:r w:rsidRPr="005160DD">
        <w:t xml:space="preserve"> </w:t>
      </w:r>
      <w:r w:rsidR="006C1198">
        <w:t>3 563,2</w:t>
      </w:r>
      <w:r w:rsidRPr="005160DD">
        <w:t xml:space="preserve"> тис. грн.)</w:t>
      </w:r>
      <w:r>
        <w:t xml:space="preserve">, ріст до надходжень за </w:t>
      </w:r>
      <w:r w:rsidRPr="00B50DBD">
        <w:t xml:space="preserve">відповідний період минулого року складає </w:t>
      </w:r>
      <w:r w:rsidR="006C1198">
        <w:t>73,1</w:t>
      </w:r>
      <w:r w:rsidRPr="00B50DBD">
        <w:t>%</w:t>
      </w:r>
      <w:r>
        <w:t xml:space="preserve"> </w:t>
      </w:r>
      <w:r w:rsidRPr="00B50DBD">
        <w:t xml:space="preserve">або отримано більше на </w:t>
      </w:r>
      <w:r w:rsidR="006C1198">
        <w:t>1 504,2</w:t>
      </w:r>
      <w:r w:rsidRPr="00B50DBD">
        <w:t xml:space="preserve"> тис. грн.</w:t>
      </w:r>
      <w:r>
        <w:t xml:space="preserve"> Частка надходжень акцизу у </w:t>
      </w:r>
      <w:r w:rsidRPr="005D0A3F">
        <w:rPr>
          <w:rFonts w:eastAsia="Calibri"/>
          <w:noProof/>
          <w:lang w:eastAsia="en-US"/>
        </w:rPr>
        <w:t>власних надходжен</w:t>
      </w:r>
      <w:r w:rsidR="007A2081" w:rsidRPr="005D0A3F">
        <w:rPr>
          <w:rFonts w:eastAsia="Calibri"/>
          <w:noProof/>
          <w:lang w:eastAsia="en-US"/>
        </w:rPr>
        <w:t>ннях</w:t>
      </w:r>
      <w:r w:rsidRPr="005D0A3F">
        <w:rPr>
          <w:rFonts w:eastAsia="Calibri"/>
          <w:noProof/>
          <w:lang w:eastAsia="en-US"/>
        </w:rPr>
        <w:t xml:space="preserve"> загального фонду місцевого бюджету</w:t>
      </w:r>
      <w:r w:rsidR="005F17C4">
        <w:rPr>
          <w:rFonts w:eastAsia="Calibri"/>
          <w:noProof/>
          <w:lang w:eastAsia="en-US"/>
        </w:rPr>
        <w:t xml:space="preserve"> </w:t>
      </w:r>
      <w:r w:rsidRPr="005D0A3F">
        <w:rPr>
          <w:rFonts w:eastAsia="Calibri"/>
          <w:noProof/>
          <w:lang w:eastAsia="en-US"/>
        </w:rPr>
        <w:t xml:space="preserve">становить </w:t>
      </w:r>
      <w:r w:rsidR="006C1198">
        <w:rPr>
          <w:rFonts w:eastAsia="Calibri"/>
          <w:noProof/>
          <w:lang w:eastAsia="en-US"/>
        </w:rPr>
        <w:t>3,5</w:t>
      </w:r>
      <w:r w:rsidRPr="005D0A3F">
        <w:rPr>
          <w:rFonts w:eastAsia="Calibri"/>
          <w:noProof/>
          <w:lang w:eastAsia="en-US"/>
        </w:rPr>
        <w:t xml:space="preserve">%. </w:t>
      </w:r>
    </w:p>
    <w:p w:rsidR="009A7AB8" w:rsidRPr="009A7AB8" w:rsidRDefault="009A7AB8" w:rsidP="009A7AB8">
      <w:pPr>
        <w:jc w:val="center"/>
        <w:rPr>
          <w:lang w:val="ru-RU" w:eastAsia="en-US"/>
        </w:rPr>
      </w:pPr>
      <w:r w:rsidRPr="009A7AB8">
        <w:rPr>
          <w:rFonts w:cstheme="minorBidi"/>
          <w:b/>
          <w:bCs/>
          <w:i/>
          <w:iCs/>
          <w:color w:val="000000" w:themeColor="text1"/>
          <w:kern w:val="24"/>
          <w:lang w:eastAsia="en-US"/>
        </w:rPr>
        <w:t>Надходження ПДФО до бюджету</w:t>
      </w:r>
    </w:p>
    <w:p w:rsidR="009A7AB8" w:rsidRPr="009A7AB8" w:rsidRDefault="009A7AB8" w:rsidP="009A7AB8">
      <w:pPr>
        <w:jc w:val="center"/>
        <w:rPr>
          <w:lang w:val="ru-RU" w:eastAsia="en-US"/>
        </w:rPr>
      </w:pPr>
      <w:r w:rsidRPr="009A7AB8">
        <w:rPr>
          <w:rFonts w:cstheme="minorBidi"/>
          <w:b/>
          <w:bCs/>
          <w:i/>
          <w:iCs/>
          <w:color w:val="000000" w:themeColor="text1"/>
          <w:kern w:val="24"/>
          <w:lang w:eastAsia="en-US"/>
        </w:rPr>
        <w:t xml:space="preserve">Диканської селищної </w:t>
      </w:r>
      <w:proofErr w:type="spellStart"/>
      <w:r w:rsidRPr="009A7AB8">
        <w:rPr>
          <w:rFonts w:cstheme="minorBidi"/>
          <w:b/>
          <w:bCs/>
          <w:i/>
          <w:iCs/>
          <w:color w:val="000000" w:themeColor="text1"/>
          <w:kern w:val="24"/>
          <w:lang w:val="ru-RU" w:eastAsia="en-US"/>
        </w:rPr>
        <w:t>територіальної</w:t>
      </w:r>
      <w:proofErr w:type="spellEnd"/>
      <w:r w:rsidRPr="009A7AB8">
        <w:rPr>
          <w:rFonts w:cstheme="minorBidi"/>
          <w:b/>
          <w:bCs/>
          <w:i/>
          <w:iCs/>
          <w:color w:val="000000" w:themeColor="text1"/>
          <w:kern w:val="24"/>
          <w:lang w:val="ru-RU" w:eastAsia="en-US"/>
        </w:rPr>
        <w:t xml:space="preserve"> </w:t>
      </w:r>
      <w:proofErr w:type="spellStart"/>
      <w:r w:rsidRPr="009A7AB8">
        <w:rPr>
          <w:rFonts w:cstheme="minorBidi"/>
          <w:b/>
          <w:bCs/>
          <w:i/>
          <w:iCs/>
          <w:color w:val="000000" w:themeColor="text1"/>
          <w:kern w:val="24"/>
          <w:lang w:val="ru-RU" w:eastAsia="en-US"/>
        </w:rPr>
        <w:t>громади</w:t>
      </w:r>
      <w:proofErr w:type="spellEnd"/>
    </w:p>
    <w:p w:rsidR="009A7AB8" w:rsidRPr="009A7AB8" w:rsidRDefault="009A7AB8" w:rsidP="009A7AB8">
      <w:pPr>
        <w:jc w:val="center"/>
        <w:rPr>
          <w:lang w:val="en-US" w:eastAsia="en-US"/>
        </w:rPr>
      </w:pPr>
      <w:r w:rsidRPr="009A7AB8">
        <w:rPr>
          <w:rFonts w:cstheme="minorBidi"/>
          <w:b/>
          <w:bCs/>
          <w:i/>
          <w:iCs/>
          <w:color w:val="000000" w:themeColor="text1"/>
          <w:kern w:val="24"/>
          <w:lang w:val="ru-RU" w:eastAsia="en-US"/>
        </w:rPr>
        <w:t xml:space="preserve">за </w:t>
      </w:r>
      <w:proofErr w:type="spellStart"/>
      <w:r w:rsidRPr="009A7AB8">
        <w:rPr>
          <w:rFonts w:cstheme="minorBidi"/>
          <w:b/>
          <w:bCs/>
          <w:i/>
          <w:iCs/>
          <w:color w:val="000000" w:themeColor="text1"/>
          <w:kern w:val="24"/>
          <w:lang w:val="ru-RU" w:eastAsia="en-US"/>
        </w:rPr>
        <w:t>січень-червень</w:t>
      </w:r>
      <w:proofErr w:type="spellEnd"/>
      <w:r w:rsidRPr="009A7AB8">
        <w:rPr>
          <w:rFonts w:cstheme="minorBidi"/>
          <w:b/>
          <w:bCs/>
          <w:i/>
          <w:iCs/>
          <w:color w:val="000000" w:themeColor="text1"/>
          <w:kern w:val="24"/>
          <w:lang w:val="ru-RU" w:eastAsia="en-US"/>
        </w:rPr>
        <w:t xml:space="preserve"> 2023-2024 </w:t>
      </w:r>
      <w:proofErr w:type="spellStart"/>
      <w:r w:rsidRPr="009A7AB8">
        <w:rPr>
          <w:rFonts w:cstheme="minorBidi"/>
          <w:b/>
          <w:bCs/>
          <w:i/>
          <w:iCs/>
          <w:color w:val="000000" w:themeColor="text1"/>
          <w:kern w:val="24"/>
          <w:lang w:val="ru-RU" w:eastAsia="en-US"/>
        </w:rPr>
        <w:t>років</w:t>
      </w:r>
      <w:proofErr w:type="spellEnd"/>
    </w:p>
    <w:p w:rsidR="009A7AB8" w:rsidRPr="009A7AB8" w:rsidRDefault="009A7AB8" w:rsidP="00CD1508">
      <w:pPr>
        <w:pStyle w:val="af3"/>
        <w:shd w:val="clear" w:color="auto" w:fill="FFFFFF"/>
        <w:ind w:left="0" w:firstLine="709"/>
        <w:jc w:val="both"/>
        <w:textAlignment w:val="baseline"/>
        <w:rPr>
          <w:b/>
          <w:bCs/>
        </w:rPr>
      </w:pPr>
    </w:p>
    <w:p w:rsidR="009A7AB8" w:rsidRDefault="009A7AB8" w:rsidP="00CD1508">
      <w:pPr>
        <w:pStyle w:val="af3"/>
        <w:shd w:val="clear" w:color="auto" w:fill="FFFFFF"/>
        <w:ind w:left="0" w:firstLine="709"/>
        <w:jc w:val="both"/>
        <w:textAlignment w:val="baseline"/>
        <w:rPr>
          <w:b/>
          <w:bCs/>
        </w:rPr>
      </w:pPr>
    </w:p>
    <w:p w:rsidR="009A7AB8" w:rsidRDefault="009A7AB8" w:rsidP="009A7AB8">
      <w:pPr>
        <w:pStyle w:val="af3"/>
        <w:shd w:val="clear" w:color="auto" w:fill="FFFFFF"/>
        <w:ind w:left="0"/>
        <w:jc w:val="both"/>
        <w:textAlignment w:val="baseline"/>
        <w:rPr>
          <w:b/>
          <w:bCs/>
        </w:rPr>
      </w:pPr>
      <w:r w:rsidRPr="009A7AB8">
        <w:rPr>
          <w:b/>
          <w:bCs/>
          <w:noProof/>
          <w:lang w:eastAsia="uk-UA"/>
        </w:rPr>
        <w:lastRenderedPageBreak/>
        <w:drawing>
          <wp:inline distT="0" distB="0" distL="0" distR="0" wp14:anchorId="0749FAEC" wp14:editId="7703AB13">
            <wp:extent cx="6120130" cy="4079875"/>
            <wp:effectExtent l="0" t="0" r="1397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7AB8" w:rsidRDefault="009A7AB8" w:rsidP="00CD1508">
      <w:pPr>
        <w:pStyle w:val="af3"/>
        <w:shd w:val="clear" w:color="auto" w:fill="FFFFFF"/>
        <w:ind w:left="0" w:firstLine="709"/>
        <w:jc w:val="both"/>
        <w:textAlignment w:val="baseline"/>
        <w:rPr>
          <w:b/>
          <w:bCs/>
        </w:rPr>
      </w:pPr>
    </w:p>
    <w:p w:rsidR="00321B57" w:rsidRPr="00321B57" w:rsidRDefault="00CD1508" w:rsidP="00CD1508">
      <w:pPr>
        <w:pStyle w:val="af3"/>
        <w:shd w:val="clear" w:color="auto" w:fill="FFFFFF"/>
        <w:ind w:left="0" w:firstLine="709"/>
        <w:jc w:val="both"/>
        <w:textAlignment w:val="baseline"/>
        <w:rPr>
          <w:i/>
        </w:rPr>
      </w:pPr>
      <w:r w:rsidRPr="001514F2">
        <w:rPr>
          <w:b/>
          <w:bCs/>
        </w:rPr>
        <w:t xml:space="preserve">Другим вагомим джерелом </w:t>
      </w:r>
      <w:r w:rsidRPr="00CD1508">
        <w:rPr>
          <w:bCs/>
        </w:rPr>
        <w:t>в обсязі надходжень доходів загального фонду (без офіційних трансфертів) є</w:t>
      </w:r>
      <w:r>
        <w:rPr>
          <w:b/>
          <w:bCs/>
        </w:rPr>
        <w:t xml:space="preserve"> </w:t>
      </w:r>
      <w:r w:rsidRPr="00CD1508">
        <w:rPr>
          <w:b/>
          <w:bCs/>
        </w:rPr>
        <w:t>п</w:t>
      </w:r>
      <w:r w:rsidR="00EB625D" w:rsidRPr="00CD1508">
        <w:rPr>
          <w:b/>
        </w:rPr>
        <w:t>одаток на майно</w:t>
      </w:r>
      <w:r w:rsidR="006C1198">
        <w:rPr>
          <w:b/>
        </w:rPr>
        <w:t xml:space="preserve"> – 16,4</w:t>
      </w:r>
      <w:r w:rsidRPr="00CD1508">
        <w:rPr>
          <w:b/>
        </w:rPr>
        <w:t>%</w:t>
      </w:r>
      <w:r>
        <w:t xml:space="preserve">, </w:t>
      </w:r>
      <w:r w:rsidR="00425D24">
        <w:t xml:space="preserve">який </w:t>
      </w:r>
      <w:r w:rsidR="00EB625D">
        <w:t xml:space="preserve">виконано на </w:t>
      </w:r>
      <w:r w:rsidR="006C1198">
        <w:t>108,9</w:t>
      </w:r>
      <w:r w:rsidR="00EB625D">
        <w:t xml:space="preserve">% </w:t>
      </w:r>
      <w:r w:rsidR="005F17C4">
        <w:t xml:space="preserve">до </w:t>
      </w:r>
      <w:r w:rsidR="00EB625D">
        <w:t>план</w:t>
      </w:r>
      <w:r w:rsidR="005F17C4">
        <w:t>ових показників</w:t>
      </w:r>
      <w:r w:rsidR="00EB625D">
        <w:t xml:space="preserve">  </w:t>
      </w:r>
      <w:r w:rsidR="005F17C4">
        <w:t xml:space="preserve">в </w:t>
      </w:r>
      <w:r w:rsidR="005F17C4" w:rsidRPr="00453EF1">
        <w:t>сумі</w:t>
      </w:r>
      <w:r w:rsidR="00B36691" w:rsidRPr="00453EF1">
        <w:t xml:space="preserve"> </w:t>
      </w:r>
      <w:r w:rsidR="006C1198">
        <w:t>16 899,3</w:t>
      </w:r>
      <w:r w:rsidR="005F17C4" w:rsidRPr="00453EF1">
        <w:t xml:space="preserve"> тис. </w:t>
      </w:r>
      <w:r w:rsidR="005F17C4">
        <w:t>грн.</w:t>
      </w:r>
      <w:r w:rsidR="00701464">
        <w:t>,</w:t>
      </w:r>
      <w:r w:rsidR="00EB625D" w:rsidRPr="00B50DBD">
        <w:t xml:space="preserve"> ріст до надходжень за </w:t>
      </w:r>
      <w:r w:rsidR="00716697">
        <w:t>січень-</w:t>
      </w:r>
      <w:r w:rsidR="006C1198">
        <w:t>червень</w:t>
      </w:r>
      <w:r w:rsidR="00EB625D" w:rsidRPr="00B50DBD">
        <w:t xml:space="preserve"> </w:t>
      </w:r>
      <w:r w:rsidR="00716697">
        <w:t>202</w:t>
      </w:r>
      <w:r w:rsidR="002B5B0D">
        <w:t>3</w:t>
      </w:r>
      <w:r w:rsidR="00EB625D" w:rsidRPr="00B50DBD">
        <w:t xml:space="preserve"> року складає +</w:t>
      </w:r>
      <w:r w:rsidR="006C1198">
        <w:t>11</w:t>
      </w:r>
      <w:r w:rsidR="002B5B0D">
        <w:t>,</w:t>
      </w:r>
      <w:r w:rsidR="006C1198">
        <w:t>2</w:t>
      </w:r>
      <w:r w:rsidR="00EB625D" w:rsidRPr="00B50DBD">
        <w:t xml:space="preserve">% або отримано більше на </w:t>
      </w:r>
      <w:r w:rsidR="006C1198">
        <w:t>1 702,1</w:t>
      </w:r>
      <w:r w:rsidR="00EB625D" w:rsidRPr="00B50DBD">
        <w:t xml:space="preserve"> тис. грн.</w:t>
      </w:r>
      <w:r w:rsidR="00EB625D">
        <w:t xml:space="preserve"> </w:t>
      </w:r>
      <w:r w:rsidR="00425D24">
        <w:rPr>
          <w:rFonts w:eastAsia="Calibri"/>
          <w:noProof/>
          <w:lang w:eastAsia="en-US"/>
        </w:rPr>
        <w:t>З нього</w:t>
      </w:r>
      <w:r w:rsidR="00D75E60">
        <w:t>:</w:t>
      </w:r>
      <w:r w:rsidR="00321B57">
        <w:t xml:space="preserve"> </w:t>
      </w:r>
    </w:p>
    <w:p w:rsidR="00321B57" w:rsidRDefault="00D75E60" w:rsidP="0059204F">
      <w:pPr>
        <w:pStyle w:val="af3"/>
        <w:numPr>
          <w:ilvl w:val="0"/>
          <w:numId w:val="14"/>
        </w:numPr>
        <w:shd w:val="clear" w:color="auto" w:fill="FFFFFF"/>
        <w:ind w:left="0" w:firstLine="567"/>
        <w:jc w:val="both"/>
        <w:textAlignment w:val="baseline"/>
        <w:rPr>
          <w:i/>
        </w:rPr>
      </w:pPr>
      <w:r w:rsidRPr="00321B57">
        <w:rPr>
          <w:i/>
        </w:rPr>
        <w:t>п</w:t>
      </w:r>
      <w:r w:rsidR="00146203" w:rsidRPr="00321B57">
        <w:rPr>
          <w:i/>
        </w:rPr>
        <w:t xml:space="preserve">одаток на нерухоме майно, відмінне від земельної ділянки, виконано на </w:t>
      </w:r>
      <w:r w:rsidR="00291141">
        <w:rPr>
          <w:i/>
        </w:rPr>
        <w:t>108</w:t>
      </w:r>
      <w:r w:rsidR="0041198E">
        <w:rPr>
          <w:i/>
        </w:rPr>
        <w:t>,</w:t>
      </w:r>
      <w:r w:rsidR="00291141">
        <w:rPr>
          <w:i/>
        </w:rPr>
        <w:t>4</w:t>
      </w:r>
      <w:r w:rsidR="0041198E">
        <w:rPr>
          <w:i/>
        </w:rPr>
        <w:t>%</w:t>
      </w:r>
      <w:r w:rsidR="00146203" w:rsidRPr="00321B57">
        <w:rPr>
          <w:i/>
        </w:rPr>
        <w:t xml:space="preserve"> (план – </w:t>
      </w:r>
      <w:r w:rsidR="00291141">
        <w:rPr>
          <w:i/>
        </w:rPr>
        <w:t>1 708,7</w:t>
      </w:r>
      <w:r w:rsidR="00146203" w:rsidRPr="00321B57">
        <w:rPr>
          <w:i/>
        </w:rPr>
        <w:t xml:space="preserve"> тис. грн., факт – </w:t>
      </w:r>
      <w:r w:rsidR="00291141">
        <w:rPr>
          <w:i/>
        </w:rPr>
        <w:t>1 851,3</w:t>
      </w:r>
      <w:r w:rsidR="00146203" w:rsidRPr="00321B57">
        <w:rPr>
          <w:i/>
        </w:rPr>
        <w:t xml:space="preserve"> тис. грн.), в порівнянні з надходженням </w:t>
      </w:r>
      <w:r w:rsidR="0041198E">
        <w:rPr>
          <w:i/>
        </w:rPr>
        <w:t xml:space="preserve">першого </w:t>
      </w:r>
      <w:r w:rsidR="00291141">
        <w:rPr>
          <w:i/>
        </w:rPr>
        <w:t>півріччя</w:t>
      </w:r>
      <w:r w:rsidR="005A340E">
        <w:rPr>
          <w:i/>
        </w:rPr>
        <w:t xml:space="preserve"> </w:t>
      </w:r>
      <w:r w:rsidR="00146203" w:rsidRPr="00321B57">
        <w:rPr>
          <w:i/>
        </w:rPr>
        <w:t xml:space="preserve">попереднього року </w:t>
      </w:r>
      <w:r w:rsidR="00ED4D69" w:rsidRPr="00321B57">
        <w:rPr>
          <w:i/>
        </w:rPr>
        <w:t xml:space="preserve">надійшло податку </w:t>
      </w:r>
      <w:r w:rsidR="00291141">
        <w:rPr>
          <w:i/>
        </w:rPr>
        <w:t>більше</w:t>
      </w:r>
      <w:r w:rsidR="00146203" w:rsidRPr="00321B57">
        <w:rPr>
          <w:i/>
        </w:rPr>
        <w:t xml:space="preserve"> на </w:t>
      </w:r>
      <w:r w:rsidR="00291141">
        <w:rPr>
          <w:i/>
        </w:rPr>
        <w:t>266,7</w:t>
      </w:r>
      <w:r w:rsidR="00146203" w:rsidRPr="00321B57">
        <w:rPr>
          <w:i/>
        </w:rPr>
        <w:t xml:space="preserve"> тис. грн. або</w:t>
      </w:r>
      <w:r w:rsidR="00291141">
        <w:rPr>
          <w:i/>
        </w:rPr>
        <w:t xml:space="preserve"> +16</w:t>
      </w:r>
      <w:r w:rsidR="0041198E">
        <w:rPr>
          <w:i/>
        </w:rPr>
        <w:t>,8</w:t>
      </w:r>
      <w:r w:rsidRPr="00321B57">
        <w:rPr>
          <w:i/>
        </w:rPr>
        <w:t>%;</w:t>
      </w:r>
      <w:r w:rsidR="00321B57" w:rsidRPr="00321B57">
        <w:rPr>
          <w:i/>
        </w:rPr>
        <w:t xml:space="preserve"> </w:t>
      </w:r>
    </w:p>
    <w:p w:rsidR="00146203" w:rsidRDefault="00D75E60" w:rsidP="0059204F">
      <w:pPr>
        <w:pStyle w:val="af3"/>
        <w:numPr>
          <w:ilvl w:val="0"/>
          <w:numId w:val="14"/>
        </w:numPr>
        <w:shd w:val="clear" w:color="auto" w:fill="FFFFFF"/>
        <w:ind w:left="0" w:firstLine="567"/>
        <w:jc w:val="both"/>
        <w:textAlignment w:val="baseline"/>
        <w:rPr>
          <w:i/>
        </w:rPr>
      </w:pPr>
      <w:r w:rsidRPr="00321B57">
        <w:rPr>
          <w:i/>
        </w:rPr>
        <w:t>п</w:t>
      </w:r>
      <w:r w:rsidR="00146203" w:rsidRPr="00321B57">
        <w:rPr>
          <w:i/>
        </w:rPr>
        <w:t xml:space="preserve">лата за землю при планових показниках </w:t>
      </w:r>
      <w:r w:rsidR="00067348">
        <w:rPr>
          <w:i/>
          <w:lang w:val="ru-RU"/>
        </w:rPr>
        <w:t>13 684,5</w:t>
      </w:r>
      <w:r w:rsidR="00146203" w:rsidRPr="00321B57">
        <w:rPr>
          <w:i/>
        </w:rPr>
        <w:t xml:space="preserve"> тис. грн. фактично отримана в сумі </w:t>
      </w:r>
      <w:r w:rsidR="00067348">
        <w:rPr>
          <w:i/>
          <w:lang w:val="ru-RU"/>
        </w:rPr>
        <w:t>14 929,2</w:t>
      </w:r>
      <w:r w:rsidR="00146203" w:rsidRPr="00321B57">
        <w:rPr>
          <w:i/>
        </w:rPr>
        <w:t xml:space="preserve"> тис. грн., відсоток виконання склав </w:t>
      </w:r>
      <w:r w:rsidR="00067348">
        <w:rPr>
          <w:i/>
          <w:lang w:val="ru-RU"/>
        </w:rPr>
        <w:t>109,1</w:t>
      </w:r>
      <w:r w:rsidR="00146203" w:rsidRPr="00321B57">
        <w:rPr>
          <w:i/>
        </w:rPr>
        <w:t xml:space="preserve">%, ріст до надходжень за </w:t>
      </w:r>
      <w:proofErr w:type="spellStart"/>
      <w:r w:rsidR="00067348">
        <w:rPr>
          <w:i/>
          <w:lang w:val="ru-RU"/>
        </w:rPr>
        <w:t>шість</w:t>
      </w:r>
      <w:proofErr w:type="spellEnd"/>
      <w:r w:rsidR="00F534A9">
        <w:rPr>
          <w:i/>
          <w:lang w:val="ru-RU"/>
        </w:rPr>
        <w:t xml:space="preserve"> </w:t>
      </w:r>
      <w:r w:rsidR="00F534A9" w:rsidRPr="00F534A9">
        <w:rPr>
          <w:i/>
        </w:rPr>
        <w:t>місяці</w:t>
      </w:r>
      <w:r w:rsidR="00067348">
        <w:rPr>
          <w:i/>
        </w:rPr>
        <w:t>в</w:t>
      </w:r>
      <w:r w:rsidR="00146203" w:rsidRPr="00321B57">
        <w:rPr>
          <w:i/>
        </w:rPr>
        <w:t xml:space="preserve"> 202</w:t>
      </w:r>
      <w:r w:rsidR="005F17C4">
        <w:rPr>
          <w:i/>
        </w:rPr>
        <w:t>3</w:t>
      </w:r>
      <w:r w:rsidR="00146203" w:rsidRPr="00321B57">
        <w:rPr>
          <w:i/>
        </w:rPr>
        <w:t xml:space="preserve"> року становить </w:t>
      </w:r>
      <w:r w:rsidR="00067348">
        <w:rPr>
          <w:i/>
        </w:rPr>
        <w:t>10,1</w:t>
      </w:r>
      <w:r w:rsidR="00146203" w:rsidRPr="00321B57">
        <w:rPr>
          <w:i/>
        </w:rPr>
        <w:t xml:space="preserve">% або більше на </w:t>
      </w:r>
      <w:r w:rsidR="00067348">
        <w:rPr>
          <w:i/>
          <w:lang w:val="ru-RU"/>
        </w:rPr>
        <w:t>1 366,6</w:t>
      </w:r>
      <w:r w:rsidR="00146203" w:rsidRPr="00321B57">
        <w:rPr>
          <w:i/>
        </w:rPr>
        <w:t xml:space="preserve"> тис. грн.</w:t>
      </w:r>
      <w:r w:rsidRPr="00321B57">
        <w:rPr>
          <w:i/>
        </w:rPr>
        <w:t>;</w:t>
      </w:r>
    </w:p>
    <w:p w:rsidR="00550349" w:rsidRPr="00550349" w:rsidRDefault="00550349" w:rsidP="0059204F">
      <w:pPr>
        <w:pStyle w:val="af3"/>
        <w:ind w:left="0" w:firstLine="567"/>
        <w:jc w:val="both"/>
        <w:rPr>
          <w:i/>
        </w:rPr>
      </w:pPr>
      <w:r>
        <w:t xml:space="preserve">- </w:t>
      </w:r>
      <w:r w:rsidRPr="00550349">
        <w:rPr>
          <w:i/>
        </w:rPr>
        <w:t xml:space="preserve">транспортний податок з юридичних осіб </w:t>
      </w:r>
      <w:r w:rsidRPr="00550349">
        <w:rPr>
          <w:i/>
          <w:lang w:val="ru-RU"/>
        </w:rPr>
        <w:t>зарахований</w:t>
      </w:r>
      <w:r w:rsidRPr="00550349">
        <w:rPr>
          <w:i/>
        </w:rPr>
        <w:t xml:space="preserve"> в сумі </w:t>
      </w:r>
      <w:r w:rsidR="00067348">
        <w:rPr>
          <w:i/>
        </w:rPr>
        <w:t>118,8</w:t>
      </w:r>
      <w:r w:rsidRPr="00550349">
        <w:rPr>
          <w:i/>
        </w:rPr>
        <w:t xml:space="preserve"> тис. грн.</w:t>
      </w:r>
      <w:r w:rsidR="005A340E">
        <w:rPr>
          <w:i/>
        </w:rPr>
        <w:t xml:space="preserve"> (100</w:t>
      </w:r>
      <w:r w:rsidR="00F534A9">
        <w:rPr>
          <w:i/>
        </w:rPr>
        <w:t>,</w:t>
      </w:r>
      <w:r w:rsidR="00067348">
        <w:rPr>
          <w:i/>
        </w:rPr>
        <w:t>1</w:t>
      </w:r>
      <w:r w:rsidR="005A340E">
        <w:rPr>
          <w:i/>
        </w:rPr>
        <w:t>% до плану)</w:t>
      </w:r>
      <w:r w:rsidRPr="00550349">
        <w:rPr>
          <w:i/>
        </w:rPr>
        <w:t>, що в порівнянні з надходженнями за січень-</w:t>
      </w:r>
      <w:r w:rsidR="00067348">
        <w:rPr>
          <w:i/>
        </w:rPr>
        <w:t>червень</w:t>
      </w:r>
      <w:r w:rsidRPr="00550349">
        <w:rPr>
          <w:i/>
        </w:rPr>
        <w:t xml:space="preserve"> 202</w:t>
      </w:r>
      <w:r w:rsidR="00F534A9">
        <w:rPr>
          <w:i/>
        </w:rPr>
        <w:t>3</w:t>
      </w:r>
      <w:r w:rsidRPr="00550349">
        <w:rPr>
          <w:i/>
        </w:rPr>
        <w:t xml:space="preserve"> року </w:t>
      </w:r>
      <w:r w:rsidR="00067348">
        <w:rPr>
          <w:i/>
        </w:rPr>
        <w:t>більше</w:t>
      </w:r>
      <w:r w:rsidRPr="00550349">
        <w:rPr>
          <w:i/>
        </w:rPr>
        <w:t xml:space="preserve"> на </w:t>
      </w:r>
      <w:r w:rsidR="00067348">
        <w:rPr>
          <w:i/>
        </w:rPr>
        <w:t>68,8</w:t>
      </w:r>
      <w:r w:rsidRPr="00550349">
        <w:rPr>
          <w:i/>
        </w:rPr>
        <w:t xml:space="preserve"> тис. грн. (</w:t>
      </w:r>
      <w:r w:rsidR="00067348">
        <w:rPr>
          <w:i/>
        </w:rPr>
        <w:t>більше ніж у два рази</w:t>
      </w:r>
      <w:r w:rsidRPr="00550349">
        <w:rPr>
          <w:i/>
        </w:rPr>
        <w:t xml:space="preserve">). </w:t>
      </w:r>
    </w:p>
    <w:p w:rsidR="00E12D60" w:rsidRDefault="00434B1A" w:rsidP="00E12D60">
      <w:pPr>
        <w:jc w:val="both"/>
      </w:pPr>
      <w:r>
        <w:lastRenderedPageBreak/>
        <w:tab/>
      </w:r>
      <w:r w:rsidR="00E12D60" w:rsidRPr="00E96A18">
        <w:rPr>
          <w:rFonts w:eastAsia="TimesNewRoman"/>
          <w:noProof/>
          <w:lang w:eastAsia="uk-UA"/>
        </w:rPr>
        <w:drawing>
          <wp:inline distT="0" distB="0" distL="0" distR="0" wp14:anchorId="65E1BA88" wp14:editId="1FBDF1D0">
            <wp:extent cx="6120130" cy="4931924"/>
            <wp:effectExtent l="0" t="0" r="13970" b="2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3B60" w:rsidRDefault="00BB3B60" w:rsidP="00434B1A">
      <w:pPr>
        <w:ind w:firstLine="708"/>
        <w:jc w:val="both"/>
      </w:pPr>
    </w:p>
    <w:p w:rsidR="00D5185A" w:rsidRDefault="00D5185A" w:rsidP="00D5185A">
      <w:pPr>
        <w:ind w:firstLine="708"/>
        <w:jc w:val="both"/>
      </w:pPr>
      <w:r>
        <w:t>Т</w:t>
      </w:r>
      <w:r w:rsidRPr="005160DD">
        <w:t xml:space="preserve">уристичний збір виконано на </w:t>
      </w:r>
      <w:r>
        <w:t xml:space="preserve">100,1% </w:t>
      </w:r>
      <w:r w:rsidRPr="005160DD">
        <w:t xml:space="preserve">(план – </w:t>
      </w:r>
      <w:r>
        <w:t>256,0</w:t>
      </w:r>
      <w:r w:rsidRPr="005160DD">
        <w:t xml:space="preserve"> тис. грн., факт</w:t>
      </w:r>
      <w:r>
        <w:t xml:space="preserve"> </w:t>
      </w:r>
      <w:r w:rsidRPr="005160DD">
        <w:t xml:space="preserve">– </w:t>
      </w:r>
      <w:r>
        <w:t xml:space="preserve">256,3 </w:t>
      </w:r>
      <w:r w:rsidRPr="005160DD">
        <w:t>тис. грн.)</w:t>
      </w:r>
      <w:r>
        <w:t>, що на 2,9 тис. грн. менше отриманого збору ніж у І півріччі 2023 року  (-1,1%). Частка податку у власних доходах загального фонду становить 0,3%.</w:t>
      </w:r>
    </w:p>
    <w:p w:rsidR="00D5185A" w:rsidRDefault="00D5185A" w:rsidP="00D5185A">
      <w:pPr>
        <w:ind w:firstLine="709"/>
        <w:jc w:val="both"/>
      </w:pPr>
      <w:r w:rsidRPr="00D259C6">
        <w:rPr>
          <w:b/>
        </w:rPr>
        <w:t>Єдиний податок</w:t>
      </w:r>
      <w:r>
        <w:t xml:space="preserve"> є </w:t>
      </w:r>
      <w:r w:rsidRPr="00067348">
        <w:rPr>
          <w:b/>
        </w:rPr>
        <w:t>третім</w:t>
      </w:r>
      <w:r>
        <w:t xml:space="preserve"> по значимості </w:t>
      </w:r>
      <w:r w:rsidRPr="00067348">
        <w:rPr>
          <w:b/>
        </w:rPr>
        <w:t>бюджетоутворюючим податком</w:t>
      </w:r>
      <w:r>
        <w:t xml:space="preserve"> нашої громади і його частка у власних доходах загального фонду складає </w:t>
      </w:r>
      <w:r w:rsidRPr="00D259C6">
        <w:rPr>
          <w:b/>
        </w:rPr>
        <w:t>1</w:t>
      </w:r>
      <w:r>
        <w:rPr>
          <w:b/>
        </w:rPr>
        <w:t>3,7</w:t>
      </w:r>
      <w:r w:rsidRPr="00D259C6">
        <w:rPr>
          <w:b/>
        </w:rPr>
        <w:t>%.</w:t>
      </w:r>
      <w:r>
        <w:rPr>
          <w:b/>
        </w:rPr>
        <w:t xml:space="preserve"> </w:t>
      </w:r>
      <w:r w:rsidRPr="00067348">
        <w:t>Податок виконано на 101,</w:t>
      </w:r>
      <w:r>
        <w:t>5</w:t>
      </w:r>
      <w:r w:rsidRPr="00067348">
        <w:t xml:space="preserve"> %: при планових показниках </w:t>
      </w:r>
      <w:r>
        <w:t>13 835,5</w:t>
      </w:r>
      <w:r w:rsidRPr="00067348">
        <w:t xml:space="preserve"> тис. грн. фактично отримано</w:t>
      </w:r>
      <w:r>
        <w:t xml:space="preserve"> податку в сумі 14 036,0 тис. грн., що більше на 3 459,4 тис. грн. в порівнянні до надходжень за перші два квартали 2023 року (+32,7%).</w:t>
      </w:r>
    </w:p>
    <w:p w:rsidR="00BC3943" w:rsidRDefault="00BC3943" w:rsidP="00BC3943">
      <w:pPr>
        <w:ind w:firstLine="709"/>
        <w:jc w:val="both"/>
      </w:pPr>
      <w:r>
        <w:t xml:space="preserve">Неподаткові надходження виконано на 104,6% (при планові 743,4 тис. грн. в бюджет надійшло 777,2 тис. грн.), що на 321,7 тис. грн. менше минулорічних надходжень або -29,3%. Частка податку у власних доходах </w:t>
      </w:r>
      <w:r w:rsidRPr="0052070A">
        <w:t xml:space="preserve">загального фонду – </w:t>
      </w:r>
      <w:r>
        <w:t>0,8</w:t>
      </w:r>
      <w:r w:rsidRPr="0052070A">
        <w:t>%.</w:t>
      </w:r>
    </w:p>
    <w:p w:rsidR="00434B1A" w:rsidRPr="00F014A8" w:rsidRDefault="00434B1A" w:rsidP="00BC3943">
      <w:pPr>
        <w:ind w:firstLine="708"/>
        <w:jc w:val="both"/>
      </w:pPr>
      <w:r w:rsidRPr="00F014A8">
        <w:t xml:space="preserve">За січень – </w:t>
      </w:r>
      <w:r w:rsidR="00CC5829">
        <w:t xml:space="preserve">червень </w:t>
      </w:r>
      <w:r w:rsidRPr="00F014A8">
        <w:t>202</w:t>
      </w:r>
      <w:r w:rsidR="008E66C3">
        <w:t>4</w:t>
      </w:r>
      <w:r w:rsidRPr="00F014A8">
        <w:t xml:space="preserve"> року </w:t>
      </w:r>
      <w:r>
        <w:t xml:space="preserve">до загального фонду бюджету Диканської селищної територіальної громади </w:t>
      </w:r>
      <w:r w:rsidRPr="00434B1A">
        <w:rPr>
          <w:b/>
        </w:rPr>
        <w:t>офіційні трансферти</w:t>
      </w:r>
      <w:r w:rsidRPr="003D268B">
        <w:t xml:space="preserve"> </w:t>
      </w:r>
      <w:r w:rsidR="008E08A4">
        <w:t xml:space="preserve">при планові 39 221,6 тис. грн. </w:t>
      </w:r>
      <w:r w:rsidR="008E08A4" w:rsidRPr="00F014A8">
        <w:t>отримані</w:t>
      </w:r>
      <w:r w:rsidR="008E08A4" w:rsidRPr="003D268B">
        <w:t xml:space="preserve"> </w:t>
      </w:r>
      <w:r w:rsidRPr="003D268B">
        <w:t>в</w:t>
      </w:r>
      <w:r w:rsidRPr="00F014A8">
        <w:t xml:space="preserve"> сумі </w:t>
      </w:r>
      <w:r w:rsidR="008E08A4">
        <w:rPr>
          <w:b/>
        </w:rPr>
        <w:t>38 893,1</w:t>
      </w:r>
      <w:r w:rsidRPr="00095D58">
        <w:rPr>
          <w:b/>
        </w:rPr>
        <w:t xml:space="preserve"> тис. грн.</w:t>
      </w:r>
      <w:r w:rsidRPr="00F014A8">
        <w:t xml:space="preserve"> (</w:t>
      </w:r>
      <w:r>
        <w:t>99,</w:t>
      </w:r>
      <w:r w:rsidR="008E08A4">
        <w:t>2</w:t>
      </w:r>
      <w:r w:rsidRPr="00F014A8">
        <w:t xml:space="preserve">% до планових показників), </w:t>
      </w:r>
      <w:r>
        <w:t xml:space="preserve">що на </w:t>
      </w:r>
      <w:r w:rsidR="00AE4145">
        <w:t xml:space="preserve">    </w:t>
      </w:r>
      <w:r w:rsidR="008E08A4">
        <w:t>4 233,3</w:t>
      </w:r>
      <w:r>
        <w:t xml:space="preserve"> тис. грн. </w:t>
      </w:r>
      <w:r w:rsidR="00BD1364">
        <w:t>більше</w:t>
      </w:r>
      <w:r>
        <w:t xml:space="preserve"> ніж у І </w:t>
      </w:r>
      <w:r w:rsidR="008E08A4">
        <w:t>півріччі</w:t>
      </w:r>
      <w:r>
        <w:t xml:space="preserve"> 202</w:t>
      </w:r>
      <w:r w:rsidR="00BD1364">
        <w:t xml:space="preserve">3 року </w:t>
      </w:r>
      <w:r w:rsidR="00E967A6">
        <w:t xml:space="preserve">або ріст складає </w:t>
      </w:r>
      <w:r w:rsidR="00BD1364">
        <w:t>1</w:t>
      </w:r>
      <w:r w:rsidR="008E08A4">
        <w:t>2,2</w:t>
      </w:r>
      <w:r w:rsidR="00E967A6">
        <w:t>%</w:t>
      </w:r>
      <w:r>
        <w:t xml:space="preserve">, </w:t>
      </w:r>
      <w:r w:rsidRPr="00F014A8">
        <w:t>в тому числі:</w:t>
      </w:r>
    </w:p>
    <w:p w:rsidR="00434B1A" w:rsidRDefault="00434B1A" w:rsidP="00434B1A">
      <w:pPr>
        <w:ind w:firstLine="708"/>
        <w:jc w:val="both"/>
      </w:pPr>
      <w:r w:rsidRPr="00F014A8">
        <w:lastRenderedPageBreak/>
        <w:t xml:space="preserve">- освітньої субвенції з державного бюджету місцевим бюджетам </w:t>
      </w:r>
      <w:proofErr w:type="spellStart"/>
      <w:r>
        <w:rPr>
          <w:lang w:val="ru-RU"/>
        </w:rPr>
        <w:t>надійшло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стовідсотково</w:t>
      </w:r>
      <w:proofErr w:type="spellEnd"/>
      <w:r>
        <w:rPr>
          <w:lang w:val="ru-RU"/>
        </w:rPr>
        <w:t xml:space="preserve"> до плану в </w:t>
      </w:r>
      <w:r w:rsidRPr="003F0091">
        <w:t>обсязі</w:t>
      </w:r>
      <w:r w:rsidRPr="00F014A8">
        <w:t xml:space="preserve"> </w:t>
      </w:r>
      <w:r w:rsidR="008E08A4">
        <w:t>36 858,5</w:t>
      </w:r>
      <w:r w:rsidRPr="00F014A8">
        <w:t xml:space="preserve"> тис. грн.</w:t>
      </w:r>
      <w:r>
        <w:t xml:space="preserve">, що на </w:t>
      </w:r>
      <w:r w:rsidR="008E08A4">
        <w:t>4 499,7</w:t>
      </w:r>
      <w:r>
        <w:t xml:space="preserve"> тис. грн. </w:t>
      </w:r>
      <w:r w:rsidR="003F0091">
        <w:t xml:space="preserve">більше </w:t>
      </w:r>
      <w:r>
        <w:t>ніж за аналогічний період минулого року  (</w:t>
      </w:r>
      <w:r w:rsidR="003F0091">
        <w:t>+1</w:t>
      </w:r>
      <w:r w:rsidR="008E08A4">
        <w:t>13,9</w:t>
      </w:r>
      <w:r>
        <w:t>%). Освітня субвенція складає 94</w:t>
      </w:r>
      <w:r w:rsidR="003F0091">
        <w:t>,</w:t>
      </w:r>
      <w:r w:rsidR="00071180">
        <w:t>8</w:t>
      </w:r>
      <w:r>
        <w:t>% від отриманих місцевим бюджетом міжбюджетних трансфертів</w:t>
      </w:r>
      <w:r w:rsidRPr="00F014A8">
        <w:t>;</w:t>
      </w:r>
    </w:p>
    <w:p w:rsidR="00434B1A" w:rsidRDefault="00434B1A" w:rsidP="00434B1A">
      <w:pPr>
        <w:ind w:firstLine="708"/>
        <w:jc w:val="both"/>
      </w:pPr>
      <w:r w:rsidRPr="004304C2">
        <w:t xml:space="preserve">- дотації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 – </w:t>
      </w:r>
      <w:r w:rsidR="00071180">
        <w:t>877,2</w:t>
      </w:r>
      <w:r w:rsidRPr="004304C2">
        <w:t xml:space="preserve"> тис. грн.</w:t>
      </w:r>
      <w:r>
        <w:t>, що становить 1</w:t>
      </w:r>
      <w:r w:rsidRPr="00F014A8">
        <w:t>00% до пл</w:t>
      </w:r>
      <w:r>
        <w:t xml:space="preserve">ану та на </w:t>
      </w:r>
      <w:r w:rsidR="00071180">
        <w:t xml:space="preserve">43,2 </w:t>
      </w:r>
      <w:r w:rsidR="007A2081">
        <w:t xml:space="preserve">тис. </w:t>
      </w:r>
      <w:r>
        <w:t>грн. більше до надходжень січня-</w:t>
      </w:r>
      <w:r w:rsidR="00071180">
        <w:t xml:space="preserve"> червня</w:t>
      </w:r>
      <w:r w:rsidR="003F0091">
        <w:t xml:space="preserve"> </w:t>
      </w:r>
      <w:r>
        <w:t>202</w:t>
      </w:r>
      <w:r w:rsidR="003F0091">
        <w:t>3</w:t>
      </w:r>
      <w:r>
        <w:t xml:space="preserve"> року (+</w:t>
      </w:r>
      <w:r w:rsidR="003F0091">
        <w:t>5,2</w:t>
      </w:r>
      <w:r>
        <w:t>%);</w:t>
      </w:r>
    </w:p>
    <w:p w:rsidR="00DF31FD" w:rsidRDefault="00DF31FD" w:rsidP="00434B1A">
      <w:pPr>
        <w:ind w:firstLine="708"/>
        <w:jc w:val="both"/>
      </w:pPr>
      <w:r>
        <w:t xml:space="preserve">- </w:t>
      </w:r>
      <w:r w:rsidR="002825EA">
        <w:t>інша дотація з місцевого бюджету</w:t>
      </w:r>
      <w:r w:rsidR="002825EA" w:rsidRPr="006B4D5D">
        <w:t xml:space="preserve"> </w:t>
      </w:r>
      <w:r w:rsidR="002825EA">
        <w:t xml:space="preserve">отримана стовідсотково до плану  в сумі </w:t>
      </w:r>
      <w:r w:rsidR="00071180">
        <w:t>117,9</w:t>
      </w:r>
      <w:r w:rsidR="002825EA">
        <w:t xml:space="preserve"> тис. грн., яка передбачена </w:t>
      </w:r>
      <w:r w:rsidR="002825EA" w:rsidRPr="007C313E">
        <w:t xml:space="preserve">на </w:t>
      </w:r>
      <w:r w:rsidR="002825EA" w:rsidRPr="007C313E">
        <w:rPr>
          <w:rFonts w:cs="Tahoma"/>
        </w:rPr>
        <w:t xml:space="preserve">компенсацію місцевому бюджету </w:t>
      </w:r>
      <w:r w:rsidR="002825EA">
        <w:rPr>
          <w:rFonts w:cs="Tahoma"/>
        </w:rPr>
        <w:t>за</w:t>
      </w:r>
      <w:r w:rsidR="002825EA" w:rsidRPr="007C313E">
        <w:t xml:space="preserve"> оплату комунальних послуг, що надаються під час розміщення в умовах воєнного  стану внутрішньо переміщених осіб у комунальних закладах громади, відповідно до постанови Кабінету Міністрів України від 11 березня 2022 року № 261 «Про затвердження Порядку та умов надання компенсації центральним органам виконавчої влади та місцевим бюджетам на оплату комунальних послуг, що надаються під час розміщення в умовах воєнного стану тимчасово переміщених осіб» (зі змінами)</w:t>
      </w:r>
      <w:r w:rsidR="00071180">
        <w:t>. Дотації отримано менше</w:t>
      </w:r>
      <w:r w:rsidR="00AE4145">
        <w:t xml:space="preserve"> порівняно до січня-червня 2023 року</w:t>
      </w:r>
      <w:r w:rsidR="00071180">
        <w:t xml:space="preserve"> на 157,6 тис. грн</w:t>
      </w:r>
      <w:r w:rsidR="00AE4145">
        <w:t>.</w:t>
      </w:r>
      <w:r w:rsidR="00071180">
        <w:t xml:space="preserve"> або -57,2%</w:t>
      </w:r>
      <w:r w:rsidR="002825EA">
        <w:t>;</w:t>
      </w:r>
    </w:p>
    <w:p w:rsidR="00434B1A" w:rsidRPr="00F014A8" w:rsidRDefault="00434B1A" w:rsidP="00434B1A">
      <w:pPr>
        <w:ind w:firstLine="708"/>
        <w:jc w:val="both"/>
      </w:pPr>
      <w:r w:rsidRPr="00F014A8">
        <w:t>- субвенції з місцевого бюджету на здійснення переданих видатків у сфері освіти за рахунок коштів освітньої субвенції –</w:t>
      </w:r>
      <w:r>
        <w:t xml:space="preserve"> при планові </w:t>
      </w:r>
      <w:r w:rsidR="00071180">
        <w:t>1 233,4</w:t>
      </w:r>
      <w:r>
        <w:t xml:space="preserve"> тис. грн. фактично надійшло</w:t>
      </w:r>
      <w:r w:rsidRPr="00F014A8">
        <w:t xml:space="preserve"> </w:t>
      </w:r>
      <w:r w:rsidR="00071180">
        <w:t>945,3</w:t>
      </w:r>
      <w:r w:rsidRPr="00F014A8">
        <w:t xml:space="preserve"> тис. грн. або </w:t>
      </w:r>
      <w:r w:rsidR="00DF31FD">
        <w:t xml:space="preserve">виконання плану складає </w:t>
      </w:r>
      <w:r w:rsidR="00071180">
        <w:t>76,6</w:t>
      </w:r>
      <w:r w:rsidRPr="00F014A8">
        <w:t>%</w:t>
      </w:r>
      <w:r>
        <w:t xml:space="preserve">, що на </w:t>
      </w:r>
      <w:r w:rsidR="00071180">
        <w:t>52,9</w:t>
      </w:r>
      <w:r>
        <w:t xml:space="preserve"> тис. грн. більше ніж за </w:t>
      </w:r>
      <w:r w:rsidR="00071180">
        <w:t>шість</w:t>
      </w:r>
      <w:r w:rsidR="003F0091">
        <w:t xml:space="preserve"> </w:t>
      </w:r>
      <w:r>
        <w:t>місяці</w:t>
      </w:r>
      <w:r w:rsidR="00071180">
        <w:t>в</w:t>
      </w:r>
      <w:r w:rsidR="003F0091">
        <w:t xml:space="preserve"> 2023</w:t>
      </w:r>
      <w:r>
        <w:t xml:space="preserve"> року (+</w:t>
      </w:r>
      <w:r w:rsidR="00071180">
        <w:t>5,9</w:t>
      </w:r>
      <w:r>
        <w:t>%)</w:t>
      </w:r>
      <w:r w:rsidRPr="00F014A8">
        <w:t>;</w:t>
      </w:r>
    </w:p>
    <w:p w:rsidR="008A18B1" w:rsidRDefault="00434B1A" w:rsidP="008A18B1">
      <w:pPr>
        <w:ind w:firstLine="708"/>
        <w:jc w:val="both"/>
        <w:rPr>
          <w:color w:val="000000" w:themeColor="text1"/>
        </w:rPr>
      </w:pPr>
      <w:r w:rsidRPr="002D6422">
        <w:t xml:space="preserve"> - інш</w:t>
      </w:r>
      <w:r w:rsidR="00DF31FD">
        <w:t>а</w:t>
      </w:r>
      <w:r w:rsidRPr="002D6422">
        <w:t xml:space="preserve"> субвенції з місцевого бюджету – </w:t>
      </w:r>
      <w:r>
        <w:t xml:space="preserve">при планові </w:t>
      </w:r>
      <w:r w:rsidR="0000095A">
        <w:t>134,9</w:t>
      </w:r>
      <w:r>
        <w:t xml:space="preserve"> тис. грн. фактично надійшл</w:t>
      </w:r>
      <w:r w:rsidR="00DF31FD">
        <w:t>а в сумі</w:t>
      </w:r>
      <w:r w:rsidRPr="002D6422">
        <w:t xml:space="preserve"> </w:t>
      </w:r>
      <w:r w:rsidR="0000095A">
        <w:t>73,</w:t>
      </w:r>
      <w:r w:rsidR="00D95640">
        <w:t>4</w:t>
      </w:r>
      <w:r>
        <w:t xml:space="preserve"> </w:t>
      </w:r>
      <w:r w:rsidRPr="002D6422">
        <w:t xml:space="preserve">тис. </w:t>
      </w:r>
      <w:r>
        <w:t>грн.</w:t>
      </w:r>
      <w:r w:rsidR="00DF31FD">
        <w:t xml:space="preserve">, </w:t>
      </w:r>
      <w:r>
        <w:t xml:space="preserve">відсоток виконання </w:t>
      </w:r>
      <w:r w:rsidR="00DF31FD">
        <w:t>становить</w:t>
      </w:r>
      <w:r>
        <w:t xml:space="preserve"> </w:t>
      </w:r>
      <w:r w:rsidR="0000095A">
        <w:t>54,4</w:t>
      </w:r>
      <w:r w:rsidR="00DF31FD">
        <w:t>%</w:t>
      </w:r>
      <w:r>
        <w:t xml:space="preserve">, що на </w:t>
      </w:r>
      <w:r w:rsidR="0000095A">
        <w:t>10,2</w:t>
      </w:r>
      <w:r>
        <w:t xml:space="preserve"> тис. грн. </w:t>
      </w:r>
      <w:r w:rsidR="0000095A">
        <w:t xml:space="preserve">більше </w:t>
      </w:r>
      <w:r>
        <w:t xml:space="preserve">ніж за </w:t>
      </w:r>
      <w:r w:rsidR="00E07681">
        <w:t>перш</w:t>
      </w:r>
      <w:r w:rsidR="0000095A">
        <w:t>е півріччя</w:t>
      </w:r>
      <w:r w:rsidR="00E07681">
        <w:t xml:space="preserve"> 2023</w:t>
      </w:r>
      <w:r>
        <w:t xml:space="preserve"> року</w:t>
      </w:r>
      <w:r w:rsidR="008A18B1">
        <w:t xml:space="preserve">. Субвенція </w:t>
      </w:r>
      <w:r w:rsidR="00102811">
        <w:t>спланована</w:t>
      </w:r>
      <w:r w:rsidR="008A18B1">
        <w:t xml:space="preserve"> </w:t>
      </w:r>
      <w:r w:rsidRPr="0021288E">
        <w:t xml:space="preserve">на відшкодування вартості лікарських засобів громадян, які </w:t>
      </w:r>
      <w:r w:rsidRPr="00941FC3">
        <w:t>постраждали вна</w:t>
      </w:r>
      <w:r w:rsidR="00E07681">
        <w:t>слідок Чорнобильської катастрофи</w:t>
      </w:r>
      <w:r w:rsidR="008A18B1">
        <w:t xml:space="preserve"> в сумі 19,1 тис. грн., </w:t>
      </w:r>
      <w:r w:rsidR="008A18B1" w:rsidRPr="00C5046B">
        <w:t>на поховання учасників бойових дій та осіб з інвалідністю внаслідок війни</w:t>
      </w:r>
      <w:r w:rsidR="008A18B1">
        <w:t xml:space="preserve"> </w:t>
      </w:r>
      <w:r w:rsidR="008A18B1" w:rsidRPr="00A40ECC">
        <w:rPr>
          <w:color w:val="000000" w:themeColor="text1"/>
        </w:rPr>
        <w:t xml:space="preserve">– </w:t>
      </w:r>
      <w:r w:rsidR="00AB71EE">
        <w:rPr>
          <w:color w:val="000000" w:themeColor="text1"/>
        </w:rPr>
        <w:t>7,</w:t>
      </w:r>
      <w:r w:rsidR="00D95640">
        <w:rPr>
          <w:color w:val="000000" w:themeColor="text1"/>
        </w:rPr>
        <w:t>5</w:t>
      </w:r>
      <w:r w:rsidR="008A18B1" w:rsidRPr="00A40ECC">
        <w:rPr>
          <w:color w:val="000000" w:themeColor="text1"/>
        </w:rPr>
        <w:t xml:space="preserve">  тис. грн.; на санаторно-курортне оздоровлення членів сімей </w:t>
      </w:r>
      <w:r w:rsidR="008A18B1">
        <w:rPr>
          <w:color w:val="000000" w:themeColor="text1"/>
        </w:rPr>
        <w:t>окремих категорій громадян (двох дорослих та однієї дитини – членів сімей</w:t>
      </w:r>
      <w:r w:rsidR="008A18B1">
        <w:t xml:space="preserve"> загиблих захисників України) </w:t>
      </w:r>
      <w:r w:rsidR="008A18B1">
        <w:rPr>
          <w:color w:val="000000" w:themeColor="text1"/>
        </w:rPr>
        <w:t>– 46,8 тис. грн.</w:t>
      </w:r>
      <w:r w:rsidR="00AB71EE">
        <w:rPr>
          <w:color w:val="000000" w:themeColor="text1"/>
        </w:rPr>
        <w:t>;</w:t>
      </w:r>
    </w:p>
    <w:p w:rsidR="00AB71EE" w:rsidRPr="00A40ECC" w:rsidRDefault="00AB71EE" w:rsidP="008A18B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</w:t>
      </w:r>
      <w:r w:rsidRPr="00AB71EE">
        <w:rPr>
          <w:color w:val="000000" w:themeColor="text1"/>
        </w:rPr>
        <w:t>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</w:t>
      </w:r>
      <w:r>
        <w:rPr>
          <w:color w:val="000000" w:themeColor="text1"/>
        </w:rPr>
        <w:t xml:space="preserve"> отримана стовідсотково до планових показників в сумі 20,8 тис. грн.</w:t>
      </w:r>
    </w:p>
    <w:p w:rsidR="00E77488" w:rsidRDefault="00E77488" w:rsidP="00B03E0C">
      <w:pPr>
        <w:jc w:val="center"/>
        <w:rPr>
          <w:b/>
        </w:rPr>
      </w:pPr>
    </w:p>
    <w:p w:rsidR="001E6C6B" w:rsidRDefault="00AB71EE" w:rsidP="001E6C6B">
      <w:pPr>
        <w:ind w:firstLine="709"/>
        <w:jc w:val="both"/>
      </w:pPr>
      <w:r>
        <w:t>Н</w:t>
      </w:r>
      <w:r w:rsidR="001E6C6B" w:rsidRPr="00521FE7">
        <w:t>адходження</w:t>
      </w:r>
      <w:r w:rsidR="001E6C6B" w:rsidRPr="001514F2">
        <w:rPr>
          <w:b/>
        </w:rPr>
        <w:t xml:space="preserve"> до спеціального фонду</w:t>
      </w:r>
      <w:r w:rsidR="001E6C6B">
        <w:rPr>
          <w:b/>
        </w:rPr>
        <w:t xml:space="preserve"> </w:t>
      </w:r>
      <w:r w:rsidR="001E6C6B" w:rsidRPr="005B39AD">
        <w:t>місцевого бюджету за звітний період</w:t>
      </w:r>
      <w:r w:rsidR="001E6C6B">
        <w:rPr>
          <w:b/>
        </w:rPr>
        <w:t xml:space="preserve"> </w:t>
      </w:r>
      <w:r w:rsidR="001E6C6B" w:rsidRPr="002F004C">
        <w:t>склали</w:t>
      </w:r>
      <w:r w:rsidR="001E6C6B">
        <w:rPr>
          <w:b/>
        </w:rPr>
        <w:t xml:space="preserve"> </w:t>
      </w:r>
      <w:r w:rsidR="00346165">
        <w:rPr>
          <w:b/>
        </w:rPr>
        <w:t>8 795,6</w:t>
      </w:r>
      <w:r w:rsidR="001E6C6B" w:rsidRPr="002F004C">
        <w:rPr>
          <w:b/>
        </w:rPr>
        <w:t xml:space="preserve"> тис. грн</w:t>
      </w:r>
      <w:r w:rsidR="001E6C6B">
        <w:rPr>
          <w:lang w:val="ru-RU"/>
        </w:rPr>
        <w:t xml:space="preserve">. </w:t>
      </w:r>
      <w:proofErr w:type="spellStart"/>
      <w:r w:rsidR="001E6C6B">
        <w:rPr>
          <w:lang w:val="ru-RU"/>
        </w:rPr>
        <w:t>або</w:t>
      </w:r>
      <w:proofErr w:type="spellEnd"/>
      <w:r w:rsidR="001E6C6B">
        <w:rPr>
          <w:lang w:val="ru-RU"/>
        </w:rPr>
        <w:t xml:space="preserve"> </w:t>
      </w:r>
      <w:r w:rsidR="00346165">
        <w:rPr>
          <w:lang w:val="ru-RU"/>
        </w:rPr>
        <w:t>90,6</w:t>
      </w:r>
      <w:r w:rsidR="001E6C6B">
        <w:rPr>
          <w:lang w:val="ru-RU"/>
        </w:rPr>
        <w:t xml:space="preserve">% </w:t>
      </w:r>
      <w:r w:rsidR="001E6C6B">
        <w:t>до затвердженого плану на 2024 рік</w:t>
      </w:r>
      <w:r w:rsidR="001E6C6B" w:rsidRPr="001514F2">
        <w:t xml:space="preserve"> та</w:t>
      </w:r>
      <w:r w:rsidR="001E6C6B">
        <w:t xml:space="preserve"> на </w:t>
      </w:r>
      <w:r w:rsidR="00346165">
        <w:t>589,5</w:t>
      </w:r>
      <w:r w:rsidR="001E6C6B">
        <w:t xml:space="preserve"> тис. грн. </w:t>
      </w:r>
      <w:r w:rsidR="00346165">
        <w:t>більше</w:t>
      </w:r>
      <w:r w:rsidR="001E6C6B">
        <w:t xml:space="preserve"> ніж за січень-</w:t>
      </w:r>
      <w:r w:rsidR="00346165">
        <w:t>червень</w:t>
      </w:r>
      <w:r w:rsidR="001E6C6B">
        <w:t xml:space="preserve"> 2023 року або </w:t>
      </w:r>
      <w:r w:rsidR="00346165">
        <w:t>більше</w:t>
      </w:r>
      <w:r w:rsidR="001E6C6B">
        <w:t xml:space="preserve"> на </w:t>
      </w:r>
      <w:r w:rsidR="00346165">
        <w:t>7,2</w:t>
      </w:r>
      <w:r w:rsidR="001E6C6B">
        <w:t>%.</w:t>
      </w:r>
    </w:p>
    <w:p w:rsidR="00434B1A" w:rsidRDefault="00337C0C" w:rsidP="00B03E0C">
      <w:pPr>
        <w:jc w:val="both"/>
      </w:pPr>
      <w:r>
        <w:rPr>
          <w:b/>
        </w:rPr>
        <w:tab/>
      </w:r>
      <w:r w:rsidR="00B03E0C" w:rsidRPr="00B03E0C">
        <w:t>Е</w:t>
      </w:r>
      <w:r w:rsidR="00434B1A" w:rsidRPr="00B03E0C">
        <w:t>кологічний податок</w:t>
      </w:r>
      <w:r w:rsidR="00434B1A" w:rsidRPr="00AC6142">
        <w:t xml:space="preserve"> надійш</w:t>
      </w:r>
      <w:r w:rsidR="00434B1A">
        <w:t>ов</w:t>
      </w:r>
      <w:r w:rsidR="00434B1A" w:rsidRPr="00AC6142">
        <w:t xml:space="preserve"> в сумі </w:t>
      </w:r>
      <w:r w:rsidR="00346165">
        <w:t>131,9</w:t>
      </w:r>
      <w:r w:rsidR="00434B1A" w:rsidRPr="00AC6142">
        <w:t xml:space="preserve"> тис.</w:t>
      </w:r>
      <w:r w:rsidR="00434B1A">
        <w:t xml:space="preserve"> грн.</w:t>
      </w:r>
      <w:r w:rsidR="00880083">
        <w:t xml:space="preserve"> </w:t>
      </w:r>
      <w:r w:rsidR="004777E8">
        <w:t xml:space="preserve">на </w:t>
      </w:r>
      <w:r w:rsidR="00346165">
        <w:t>119,9</w:t>
      </w:r>
      <w:r w:rsidR="00880083">
        <w:t>% до уточненого плану на період</w:t>
      </w:r>
      <w:r w:rsidR="00282A87">
        <w:t xml:space="preserve"> </w:t>
      </w:r>
      <w:r w:rsidR="00346165">
        <w:t>- 110</w:t>
      </w:r>
      <w:r w:rsidR="00282A87">
        <w:t>,0 тис. грн.</w:t>
      </w:r>
      <w:r w:rsidR="00346165">
        <w:t>, що більше</w:t>
      </w:r>
      <w:r w:rsidR="00434B1A">
        <w:t xml:space="preserve"> ніж </w:t>
      </w:r>
      <w:r w:rsidR="004777E8">
        <w:t xml:space="preserve">отримано </w:t>
      </w:r>
      <w:r w:rsidR="00880083">
        <w:t xml:space="preserve">за </w:t>
      </w:r>
      <w:r w:rsidR="00346165">
        <w:t>перші два квартали</w:t>
      </w:r>
      <w:r w:rsidR="00434B1A">
        <w:t xml:space="preserve"> 202</w:t>
      </w:r>
      <w:r w:rsidR="00880083">
        <w:t>3 року</w:t>
      </w:r>
      <w:r w:rsidR="00434B1A">
        <w:t xml:space="preserve"> на </w:t>
      </w:r>
      <w:r w:rsidR="00346165">
        <w:t>18</w:t>
      </w:r>
      <w:r w:rsidR="00880083">
        <w:t>,4</w:t>
      </w:r>
      <w:r w:rsidR="00434B1A">
        <w:t xml:space="preserve"> тис. грн. або</w:t>
      </w:r>
      <w:r w:rsidR="00880083">
        <w:t xml:space="preserve"> </w:t>
      </w:r>
      <w:r w:rsidR="00346165">
        <w:t>+16,2</w:t>
      </w:r>
      <w:r w:rsidR="004777E8">
        <w:t>%.</w:t>
      </w:r>
      <w:r w:rsidR="0027054C">
        <w:t xml:space="preserve"> Частка екологічного податку у загальній сумі надходжень складає 1,5%. </w:t>
      </w:r>
    </w:p>
    <w:p w:rsidR="00434B1A" w:rsidRDefault="004777E8" w:rsidP="00434B1A">
      <w:pPr>
        <w:ind w:firstLine="708"/>
        <w:jc w:val="both"/>
      </w:pPr>
      <w:r>
        <w:lastRenderedPageBreak/>
        <w:t>Г</w:t>
      </w:r>
      <w:r w:rsidR="00434B1A" w:rsidRPr="00B03251">
        <w:t>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 </w:t>
      </w:r>
      <w:r>
        <w:t xml:space="preserve">отримані в сумі </w:t>
      </w:r>
      <w:r w:rsidR="00880083">
        <w:t>3,9</w:t>
      </w:r>
      <w:r w:rsidR="00434B1A">
        <w:t xml:space="preserve"> тис. грн., що </w:t>
      </w:r>
      <w:r w:rsidR="00346165">
        <w:t>мен</w:t>
      </w:r>
      <w:r w:rsidR="00434B1A">
        <w:t xml:space="preserve">ше на </w:t>
      </w:r>
      <w:r w:rsidR="00880083">
        <w:t>3</w:t>
      </w:r>
      <w:r w:rsidR="00346165">
        <w:t>,0</w:t>
      </w:r>
      <w:r w:rsidR="00880083">
        <w:t xml:space="preserve"> </w:t>
      </w:r>
      <w:r w:rsidR="00434B1A">
        <w:t xml:space="preserve">тис. грн. ніж за </w:t>
      </w:r>
      <w:r w:rsidR="00880083">
        <w:t>січень-</w:t>
      </w:r>
      <w:r w:rsidR="00346165">
        <w:t>червень</w:t>
      </w:r>
      <w:r w:rsidR="00434B1A">
        <w:t xml:space="preserve"> 202</w:t>
      </w:r>
      <w:r w:rsidR="00880083">
        <w:t>3</w:t>
      </w:r>
      <w:r w:rsidR="00434B1A">
        <w:t xml:space="preserve"> року (</w:t>
      </w:r>
      <w:r w:rsidR="00346165">
        <w:t>-43,</w:t>
      </w:r>
      <w:r w:rsidR="002C2DF3">
        <w:t>5%</w:t>
      </w:r>
      <w:r w:rsidR="00434B1A">
        <w:t>)</w:t>
      </w:r>
      <w:r>
        <w:t>.</w:t>
      </w:r>
    </w:p>
    <w:p w:rsidR="00945DEC" w:rsidRPr="00FF18B2" w:rsidRDefault="0023002D" w:rsidP="006369E7">
      <w:pPr>
        <w:jc w:val="center"/>
        <w:rPr>
          <w:b/>
          <w:i/>
        </w:rPr>
      </w:pPr>
      <w:r w:rsidRPr="00FF18B2">
        <w:rPr>
          <w:b/>
          <w:i/>
        </w:rPr>
        <w:t>Доходи спеціального фонду бюджету</w:t>
      </w:r>
    </w:p>
    <w:p w:rsidR="00945DEC" w:rsidRPr="00945DEC" w:rsidRDefault="0023002D" w:rsidP="00945DEC">
      <w:pPr>
        <w:jc w:val="center"/>
        <w:rPr>
          <w:b/>
          <w:i/>
          <w:lang w:val="ru-RU"/>
        </w:rPr>
      </w:pPr>
      <w:r w:rsidRPr="00FF18B2">
        <w:rPr>
          <w:b/>
          <w:i/>
        </w:rPr>
        <w:t>Дикансько</w:t>
      </w:r>
      <w:r w:rsidR="00945DEC" w:rsidRPr="00FF18B2">
        <w:rPr>
          <w:b/>
          <w:i/>
        </w:rPr>
        <w:t xml:space="preserve">ї селищної </w:t>
      </w:r>
      <w:proofErr w:type="spellStart"/>
      <w:r w:rsidR="00945DEC" w:rsidRPr="00945DEC">
        <w:rPr>
          <w:b/>
          <w:i/>
          <w:lang w:val="ru-RU"/>
        </w:rPr>
        <w:t>територіальної</w:t>
      </w:r>
      <w:proofErr w:type="spellEnd"/>
      <w:r w:rsidR="00945DEC" w:rsidRPr="00945DEC">
        <w:rPr>
          <w:b/>
          <w:i/>
          <w:lang w:val="ru-RU"/>
        </w:rPr>
        <w:t xml:space="preserve"> </w:t>
      </w:r>
      <w:proofErr w:type="spellStart"/>
      <w:r w:rsidR="00945DEC" w:rsidRPr="00945DEC">
        <w:rPr>
          <w:b/>
          <w:i/>
          <w:lang w:val="ru-RU"/>
        </w:rPr>
        <w:t>громади</w:t>
      </w:r>
      <w:proofErr w:type="spellEnd"/>
    </w:p>
    <w:p w:rsidR="009B05AC" w:rsidRPr="00945DEC" w:rsidRDefault="00945DEC" w:rsidP="00945DEC">
      <w:pPr>
        <w:jc w:val="center"/>
        <w:rPr>
          <w:b/>
          <w:i/>
          <w:lang w:val="ru-RU"/>
        </w:rPr>
      </w:pPr>
      <w:r w:rsidRPr="00945DEC">
        <w:rPr>
          <w:b/>
          <w:i/>
          <w:lang w:val="ru-RU"/>
        </w:rPr>
        <w:t xml:space="preserve">за </w:t>
      </w:r>
      <w:proofErr w:type="spellStart"/>
      <w:r w:rsidR="00E0032F">
        <w:rPr>
          <w:b/>
          <w:i/>
          <w:lang w:val="ru-RU"/>
        </w:rPr>
        <w:t>січень-червень</w:t>
      </w:r>
      <w:proofErr w:type="spellEnd"/>
      <w:r w:rsidRPr="00945DEC">
        <w:rPr>
          <w:b/>
          <w:i/>
          <w:lang w:val="ru-RU"/>
        </w:rPr>
        <w:t xml:space="preserve"> 2024 року</w:t>
      </w:r>
    </w:p>
    <w:p w:rsidR="009B05AC" w:rsidRDefault="009B05AC" w:rsidP="00434B1A">
      <w:pPr>
        <w:jc w:val="both"/>
      </w:pPr>
    </w:p>
    <w:p w:rsidR="009B05AC" w:rsidRDefault="009B05AC" w:rsidP="00434B1A">
      <w:pPr>
        <w:jc w:val="both"/>
      </w:pPr>
      <w:r>
        <w:rPr>
          <w:noProof/>
          <w:lang w:eastAsia="uk-UA"/>
        </w:rPr>
        <w:drawing>
          <wp:inline distT="0" distB="0" distL="0" distR="0" wp14:anchorId="7F6B1B53" wp14:editId="4B044054">
            <wp:extent cx="6134100" cy="3257550"/>
            <wp:effectExtent l="0" t="133350" r="0" b="15240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5185A" w:rsidRDefault="00D5185A" w:rsidP="00D5185A">
      <w:pPr>
        <w:ind w:firstLine="708"/>
        <w:jc w:val="both"/>
      </w:pPr>
      <w:r>
        <w:t xml:space="preserve">Власні надходження бюджетних установ – це 76,1%  від зарахованих доходів спеціального фонду та отримані в сумі 6 694,5 тис. грн., що на 1 329,7 тис. грн. менше ніж за відповідний період минулого року </w:t>
      </w:r>
      <w:r w:rsidRPr="00323C8A">
        <w:t>(</w:t>
      </w:r>
      <w:r>
        <w:t xml:space="preserve">-16,6%), з них </w:t>
      </w:r>
      <w:r w:rsidRPr="00F71B79">
        <w:t>50</w:t>
      </w:r>
      <w:r>
        <w:t>,</w:t>
      </w:r>
      <w:r w:rsidRPr="00F71B79">
        <w:t>6</w:t>
      </w:r>
      <w:r w:rsidRPr="00323C8A">
        <w:t xml:space="preserve">% </w:t>
      </w:r>
      <w:r>
        <w:t xml:space="preserve">від загальної суми надходжень спеціального фонду </w:t>
      </w:r>
      <w:r w:rsidRPr="00323C8A">
        <w:t xml:space="preserve">в сумі </w:t>
      </w:r>
      <w:r>
        <w:t xml:space="preserve">4 446,5 </w:t>
      </w:r>
      <w:r w:rsidRPr="00323C8A">
        <w:t>тис. грн.</w:t>
      </w:r>
      <w:r>
        <w:t xml:space="preserve"> </w:t>
      </w:r>
      <w:r w:rsidRPr="00323C8A">
        <w:t xml:space="preserve">–  це </w:t>
      </w:r>
      <w:r>
        <w:t xml:space="preserve">отримані </w:t>
      </w:r>
      <w:r w:rsidRPr="00323C8A">
        <w:t>благо</w:t>
      </w:r>
      <w:r>
        <w:t>дійні внески, гранти та дарунки, 25,6% - н</w:t>
      </w:r>
      <w:r w:rsidRPr="004777E8">
        <w:t>адходження від плати за послуги, що надаються бюджетними установами згідно із законодавством </w:t>
      </w:r>
      <w:r>
        <w:t>в розмірі 2 248,0 тис. грн.</w:t>
      </w:r>
    </w:p>
    <w:p w:rsidR="00E0032F" w:rsidRDefault="00E0032F" w:rsidP="00E0032F">
      <w:pPr>
        <w:ind w:firstLine="708"/>
        <w:jc w:val="both"/>
      </w:pPr>
      <w:r>
        <w:t xml:space="preserve">Цільові </w:t>
      </w:r>
      <w:r w:rsidRPr="0017455B">
        <w:t>фонди, утворені Верховною Радою Автономної Республіки Крим, органами місцевого самоврядування та місцевими органами</w:t>
      </w:r>
      <w:r>
        <w:t xml:space="preserve"> виконавчої влади, отримані в сумі 1 133,6 тис. грн., що перераховані для </w:t>
      </w:r>
      <w:r>
        <w:rPr>
          <w:color w:val="000000"/>
        </w:rPr>
        <w:t xml:space="preserve">соціально-економічного розвитку Диканської селищної територіальної громади: від  </w:t>
      </w:r>
      <w:r w:rsidRPr="00FF18B2">
        <w:rPr>
          <w:color w:val="000000"/>
        </w:rPr>
        <w:t>ТОВ «Агрофірма «ім. Довженка»</w:t>
      </w:r>
      <w:r>
        <w:rPr>
          <w:color w:val="000000"/>
        </w:rPr>
        <w:t xml:space="preserve"> - 335,0 тис. грн., від АТ «Укргазвидобування» - 398,6 тис. грн.,  </w:t>
      </w:r>
      <w:r>
        <w:t xml:space="preserve">від </w:t>
      </w:r>
      <w:r w:rsidRPr="00FF18B2">
        <w:t>ТОВ "ГОРИЗОНТИ"</w:t>
      </w:r>
      <w:r>
        <w:t xml:space="preserve"> - 400,0 тис. грн.</w:t>
      </w:r>
    </w:p>
    <w:p w:rsidR="00E0032F" w:rsidRDefault="00E0032F" w:rsidP="00E0032F">
      <w:pPr>
        <w:jc w:val="both"/>
      </w:pPr>
      <w:r>
        <w:tab/>
      </w:r>
      <w:r w:rsidRPr="00FF18B2">
        <w:t>Субвенція з місцевого бюджету за рахунок залишку коштів освітньої субвенції, що утворився на початок бюджетного періоду</w:t>
      </w:r>
      <w:r>
        <w:t xml:space="preserve">, надійшла стовідсотково до плану у сумі 831,7 тис. грн. для придбання комплектів мультимедійного обладнання для навчальних кабінетів закладів загальної середньої освіти для 5-6 класів (25 класи) на умовах </w:t>
      </w:r>
      <w:proofErr w:type="spellStart"/>
      <w:r>
        <w:t>співфінансуваня</w:t>
      </w:r>
      <w:proofErr w:type="spellEnd"/>
      <w:r>
        <w:t xml:space="preserve">  з місцевого бюджету.</w:t>
      </w:r>
    </w:p>
    <w:p w:rsidR="00E0032F" w:rsidRDefault="00100E81" w:rsidP="00E77488">
      <w:pPr>
        <w:jc w:val="center"/>
        <w:rPr>
          <w:b/>
        </w:rPr>
      </w:pPr>
      <w:r>
        <w:rPr>
          <w:b/>
        </w:rPr>
        <w:lastRenderedPageBreak/>
        <w:t>КРЕДИТУВАННЯ</w:t>
      </w:r>
    </w:p>
    <w:p w:rsidR="00100E81" w:rsidRDefault="00100E81" w:rsidP="00E77488">
      <w:pPr>
        <w:jc w:val="center"/>
        <w:rPr>
          <w:b/>
        </w:rPr>
      </w:pPr>
    </w:p>
    <w:p w:rsidR="000353CE" w:rsidRPr="00994B13" w:rsidRDefault="00994B13" w:rsidP="000353CE">
      <w:pPr>
        <w:ind w:firstLine="708"/>
        <w:jc w:val="both"/>
      </w:pPr>
      <w:r>
        <w:t xml:space="preserve">За звітний період до бюджету Диканської селищної територіальної громади </w:t>
      </w:r>
      <w:r>
        <w:rPr>
          <w:color w:val="000000"/>
        </w:rPr>
        <w:t>(</w:t>
      </w:r>
      <w:proofErr w:type="spellStart"/>
      <w:r w:rsidRPr="00994B13">
        <w:rPr>
          <w:color w:val="000000"/>
        </w:rPr>
        <w:t>спецiальний</w:t>
      </w:r>
      <w:proofErr w:type="spellEnd"/>
      <w:r w:rsidRPr="00994B13">
        <w:rPr>
          <w:color w:val="000000"/>
        </w:rPr>
        <w:t xml:space="preserve"> фонд</w:t>
      </w:r>
      <w:r>
        <w:rPr>
          <w:color w:val="000000"/>
        </w:rPr>
        <w:t>)</w:t>
      </w:r>
      <w:r>
        <w:t xml:space="preserve"> з </w:t>
      </w:r>
      <w:r w:rsidRPr="00072AA8">
        <w:t>Полтавсько</w:t>
      </w:r>
      <w:r>
        <w:t>го обласного</w:t>
      </w:r>
      <w:r w:rsidRPr="00072AA8">
        <w:t xml:space="preserve"> </w:t>
      </w:r>
      <w:r w:rsidRPr="00072AA8">
        <w:rPr>
          <w:shd w:val="clear" w:color="auto" w:fill="FFFFFF"/>
        </w:rPr>
        <w:t xml:space="preserve">фонду підтримки індивідуального житлового </w:t>
      </w:r>
      <w:r w:rsidRPr="00994B13">
        <w:rPr>
          <w:shd w:val="clear" w:color="auto" w:fill="FFFFFF"/>
        </w:rPr>
        <w:t>будівництва на селі</w:t>
      </w:r>
      <w:r w:rsidRPr="00994B13">
        <w:t xml:space="preserve"> </w:t>
      </w:r>
      <w:r>
        <w:t>п</w:t>
      </w:r>
      <w:r w:rsidRPr="00994B13">
        <w:rPr>
          <w:color w:val="000000"/>
        </w:rPr>
        <w:t>оверн</w:t>
      </w:r>
      <w:r>
        <w:rPr>
          <w:color w:val="000000"/>
        </w:rPr>
        <w:t>уто кредитні кошти в сумі</w:t>
      </w:r>
      <w:r w:rsidRPr="00994B13">
        <w:rPr>
          <w:color w:val="000000"/>
        </w:rPr>
        <w:t xml:space="preserve"> </w:t>
      </w:r>
      <w:r>
        <w:rPr>
          <w:color w:val="000000"/>
        </w:rPr>
        <w:t>70,0 тис.</w:t>
      </w:r>
      <w:r w:rsidR="00A826B7">
        <w:rPr>
          <w:color w:val="000000"/>
        </w:rPr>
        <w:t xml:space="preserve"> грн., за рахунок яких проведено</w:t>
      </w:r>
      <w:r w:rsidRPr="00994B13">
        <w:rPr>
          <w:color w:val="000000"/>
        </w:rPr>
        <w:t xml:space="preserve"> </w:t>
      </w:r>
      <w:proofErr w:type="spellStart"/>
      <w:r w:rsidRPr="00994B13">
        <w:rPr>
          <w:color w:val="000000"/>
        </w:rPr>
        <w:t>рефiнансування</w:t>
      </w:r>
      <w:proofErr w:type="spellEnd"/>
      <w:r>
        <w:rPr>
          <w:color w:val="000000"/>
        </w:rPr>
        <w:t>.</w:t>
      </w:r>
    </w:p>
    <w:p w:rsidR="00B009B6" w:rsidRDefault="00B009B6" w:rsidP="00434B1A">
      <w:pPr>
        <w:jc w:val="both"/>
      </w:pPr>
      <w:r w:rsidRPr="005160DD">
        <w:tab/>
      </w:r>
    </w:p>
    <w:p w:rsidR="00B009B6" w:rsidRPr="00100E81" w:rsidRDefault="00100E81" w:rsidP="00B009B6">
      <w:pPr>
        <w:tabs>
          <w:tab w:val="num" w:pos="795"/>
          <w:tab w:val="num" w:pos="945"/>
        </w:tabs>
        <w:jc w:val="center"/>
        <w:rPr>
          <w:b/>
        </w:rPr>
      </w:pPr>
      <w:r w:rsidRPr="00100E81">
        <w:rPr>
          <w:b/>
        </w:rPr>
        <w:t xml:space="preserve">ВИДАТКИ </w:t>
      </w:r>
    </w:p>
    <w:p w:rsidR="00100E81" w:rsidRPr="005160DD" w:rsidRDefault="00100E81" w:rsidP="00B009B6">
      <w:pPr>
        <w:tabs>
          <w:tab w:val="num" w:pos="795"/>
          <w:tab w:val="num" w:pos="945"/>
        </w:tabs>
        <w:jc w:val="center"/>
      </w:pPr>
    </w:p>
    <w:p w:rsidR="00CC5149" w:rsidRDefault="00B009B6" w:rsidP="00B009B6">
      <w:pPr>
        <w:ind w:firstLine="708"/>
        <w:jc w:val="both"/>
      </w:pPr>
      <w:r w:rsidRPr="005160DD">
        <w:t xml:space="preserve">Враховуючи проведені уточнення плановий обсяг видаткової частини </w:t>
      </w:r>
      <w:r w:rsidRPr="003A119D">
        <w:rPr>
          <w:b/>
        </w:rPr>
        <w:t>загального фонду</w:t>
      </w:r>
      <w:r w:rsidRPr="005160DD">
        <w:t xml:space="preserve"> бюджету</w:t>
      </w:r>
      <w:r>
        <w:t xml:space="preserve"> </w:t>
      </w:r>
      <w:r w:rsidRPr="00E60283">
        <w:t>громади</w:t>
      </w:r>
      <w:r w:rsidR="00FC2C5A">
        <w:t xml:space="preserve"> на </w:t>
      </w:r>
      <w:r w:rsidR="005D2FB3">
        <w:t>січень-червень</w:t>
      </w:r>
      <w:r w:rsidR="00FC2C5A">
        <w:t xml:space="preserve"> </w:t>
      </w:r>
      <w:r w:rsidR="000517C7">
        <w:t>202</w:t>
      </w:r>
      <w:r w:rsidR="00726E04">
        <w:t>4</w:t>
      </w:r>
      <w:r w:rsidR="000517C7">
        <w:t xml:space="preserve"> р</w:t>
      </w:r>
      <w:r w:rsidR="00FC2C5A">
        <w:t>о</w:t>
      </w:r>
      <w:r>
        <w:t>к</w:t>
      </w:r>
      <w:r w:rsidR="00FC2C5A">
        <w:t>у</w:t>
      </w:r>
      <w:r w:rsidRPr="005160DD">
        <w:t xml:space="preserve"> склав </w:t>
      </w:r>
      <w:r w:rsidR="005D2FB3">
        <w:rPr>
          <w:b/>
        </w:rPr>
        <w:t>136 881,8</w:t>
      </w:r>
      <w:r w:rsidRPr="00AE2999">
        <w:rPr>
          <w:b/>
        </w:rPr>
        <w:t xml:space="preserve"> тис. грн</w:t>
      </w:r>
      <w:r>
        <w:t>.,</w:t>
      </w:r>
      <w:r w:rsidR="00726E04">
        <w:t xml:space="preserve"> який виконано </w:t>
      </w:r>
      <w:r w:rsidR="00726E04" w:rsidRPr="00726E04">
        <w:rPr>
          <w:b/>
        </w:rPr>
        <w:t>на 9</w:t>
      </w:r>
      <w:r w:rsidR="005D2FB3">
        <w:rPr>
          <w:b/>
        </w:rPr>
        <w:t>1</w:t>
      </w:r>
      <w:r w:rsidR="00726E04" w:rsidRPr="00726E04">
        <w:rPr>
          <w:b/>
        </w:rPr>
        <w:t>,</w:t>
      </w:r>
      <w:r w:rsidR="005D2FB3">
        <w:rPr>
          <w:b/>
        </w:rPr>
        <w:t>9</w:t>
      </w:r>
      <w:r w:rsidR="00726E04" w:rsidRPr="00726E04">
        <w:rPr>
          <w:b/>
        </w:rPr>
        <w:t>%</w:t>
      </w:r>
      <w:r w:rsidR="003F0BFC">
        <w:rPr>
          <w:b/>
        </w:rPr>
        <w:t xml:space="preserve"> в сумі 125 77</w:t>
      </w:r>
      <w:r w:rsidR="00650F34">
        <w:rPr>
          <w:b/>
          <w:lang w:val="ru-RU"/>
        </w:rPr>
        <w:t>5</w:t>
      </w:r>
      <w:r w:rsidR="003F0BFC">
        <w:rPr>
          <w:b/>
        </w:rPr>
        <w:t>,</w:t>
      </w:r>
      <w:r w:rsidR="00650F34">
        <w:rPr>
          <w:b/>
          <w:lang w:val="ru-RU"/>
        </w:rPr>
        <w:t>3</w:t>
      </w:r>
      <w:r w:rsidR="003F0BFC">
        <w:rPr>
          <w:b/>
        </w:rPr>
        <w:t xml:space="preserve"> тис. грн.</w:t>
      </w:r>
      <w:r w:rsidR="00726E04" w:rsidRPr="00726E04">
        <w:rPr>
          <w:b/>
        </w:rPr>
        <w:t>,</w:t>
      </w:r>
      <w:r w:rsidR="00726E04">
        <w:t xml:space="preserve"> </w:t>
      </w:r>
      <w:r w:rsidRPr="00726E04">
        <w:t>що</w:t>
      </w:r>
      <w:r w:rsidRPr="00AE2999">
        <w:rPr>
          <w:b/>
        </w:rPr>
        <w:t xml:space="preserve"> на </w:t>
      </w:r>
      <w:r w:rsidR="005D2FB3">
        <w:rPr>
          <w:b/>
        </w:rPr>
        <w:t>95</w:t>
      </w:r>
      <w:r w:rsidR="00650F34">
        <w:rPr>
          <w:b/>
          <w:lang w:val="ru-RU"/>
        </w:rPr>
        <w:t>0</w:t>
      </w:r>
      <w:r w:rsidR="005D2FB3">
        <w:rPr>
          <w:b/>
        </w:rPr>
        <w:t>,</w:t>
      </w:r>
      <w:r w:rsidR="00650F34">
        <w:rPr>
          <w:b/>
          <w:lang w:val="ru-RU"/>
        </w:rPr>
        <w:t>1</w:t>
      </w:r>
      <w:r w:rsidRPr="00AE2999">
        <w:rPr>
          <w:b/>
        </w:rPr>
        <w:t xml:space="preserve"> тис. грн. </w:t>
      </w:r>
      <w:r w:rsidR="008644B3" w:rsidRPr="00AE2999">
        <w:rPr>
          <w:b/>
        </w:rPr>
        <w:t>(+</w:t>
      </w:r>
      <w:r w:rsidR="005D2FB3">
        <w:rPr>
          <w:b/>
        </w:rPr>
        <w:t>0</w:t>
      </w:r>
      <w:r w:rsidR="00726E04">
        <w:rPr>
          <w:b/>
        </w:rPr>
        <w:t>,8</w:t>
      </w:r>
      <w:r w:rsidRPr="00AE2999">
        <w:rPr>
          <w:b/>
        </w:rPr>
        <w:t xml:space="preserve">%) більше </w:t>
      </w:r>
      <w:r w:rsidRPr="005160DD">
        <w:t xml:space="preserve">ніж </w:t>
      </w:r>
      <w:r>
        <w:t xml:space="preserve">видатки </w:t>
      </w:r>
      <w:r w:rsidR="007D01BE">
        <w:t>за</w:t>
      </w:r>
      <w:r>
        <w:t xml:space="preserve"> </w:t>
      </w:r>
      <w:r w:rsidR="005D2FB3">
        <w:t>шість місяців</w:t>
      </w:r>
      <w:r w:rsidR="00FC2C5A">
        <w:t xml:space="preserve"> 202</w:t>
      </w:r>
      <w:r w:rsidR="00726E04">
        <w:t>3</w:t>
      </w:r>
      <w:r w:rsidR="00FC2C5A">
        <w:t xml:space="preserve"> року</w:t>
      </w:r>
      <w:r w:rsidR="003F0BFC">
        <w:t xml:space="preserve">. Видатки проведені за рахунок отриманих дотацій в сумі 995,1 тис. грн., за рахунок субвенцій – </w:t>
      </w:r>
      <w:r w:rsidR="00650F34">
        <w:rPr>
          <w:lang w:val="ru-RU"/>
        </w:rPr>
        <w:t xml:space="preserve">         </w:t>
      </w:r>
      <w:r w:rsidR="003F0BFC">
        <w:t xml:space="preserve">36 968,2 тис. грн., власні видатки загального фонду </w:t>
      </w:r>
      <w:r w:rsidR="00CC5149">
        <w:t>склали</w:t>
      </w:r>
      <w:r w:rsidR="003F0BFC">
        <w:t xml:space="preserve"> </w:t>
      </w:r>
      <w:r w:rsidR="003F0BFC" w:rsidRPr="003F0BFC">
        <w:rPr>
          <w:b/>
        </w:rPr>
        <w:t>87 81</w:t>
      </w:r>
      <w:r w:rsidR="00650F34">
        <w:rPr>
          <w:b/>
          <w:lang w:val="ru-RU"/>
        </w:rPr>
        <w:t>2</w:t>
      </w:r>
      <w:r w:rsidR="003F0BFC" w:rsidRPr="003F0BFC">
        <w:rPr>
          <w:b/>
        </w:rPr>
        <w:t>,</w:t>
      </w:r>
      <w:r w:rsidR="00650F34">
        <w:rPr>
          <w:b/>
          <w:lang w:val="ru-RU"/>
        </w:rPr>
        <w:t>0</w:t>
      </w:r>
      <w:r w:rsidR="003F0BFC">
        <w:t xml:space="preserve"> тис. грн.</w:t>
      </w:r>
    </w:p>
    <w:p w:rsidR="004835F6" w:rsidRPr="00CC5149" w:rsidRDefault="00CC5149" w:rsidP="00CC5149">
      <w:pPr>
        <w:pStyle w:val="a3"/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CC5149">
        <w:rPr>
          <w:rFonts w:ascii="Times New Roman" w:hAnsi="Times New Roman" w:cs="Times New Roman"/>
        </w:rPr>
        <w:t>В</w:t>
      </w:r>
      <w:r w:rsidR="00726E04" w:rsidRPr="00CC5149">
        <w:rPr>
          <w:rFonts w:ascii="Times New Roman" w:hAnsi="Times New Roman" w:cs="Times New Roman"/>
        </w:rPr>
        <w:t xml:space="preserve">идатки </w:t>
      </w:r>
      <w:r w:rsidR="00726E04" w:rsidRPr="00CC5149">
        <w:rPr>
          <w:rFonts w:ascii="Times New Roman" w:hAnsi="Times New Roman" w:cs="Times New Roman"/>
          <w:b/>
        </w:rPr>
        <w:t>спеціального фонду</w:t>
      </w:r>
      <w:r w:rsidR="00726E04" w:rsidRPr="00CC5149">
        <w:rPr>
          <w:rFonts w:ascii="Times New Roman" w:hAnsi="Times New Roman" w:cs="Times New Roman"/>
        </w:rPr>
        <w:t xml:space="preserve"> виконані на </w:t>
      </w:r>
      <w:r w:rsidR="005D2FB3" w:rsidRPr="00CC5149">
        <w:rPr>
          <w:rFonts w:ascii="Times New Roman" w:hAnsi="Times New Roman" w:cs="Times New Roman"/>
          <w:b/>
        </w:rPr>
        <w:t>61,6</w:t>
      </w:r>
      <w:r w:rsidR="00726E04" w:rsidRPr="00CC5149">
        <w:rPr>
          <w:rFonts w:ascii="Times New Roman" w:hAnsi="Times New Roman" w:cs="Times New Roman"/>
          <w:b/>
        </w:rPr>
        <w:t>%</w:t>
      </w:r>
      <w:r w:rsidRPr="00CC5149">
        <w:rPr>
          <w:rFonts w:ascii="Times New Roman" w:hAnsi="Times New Roman" w:cs="Times New Roman"/>
          <w:b/>
        </w:rPr>
        <w:t xml:space="preserve"> </w:t>
      </w:r>
      <w:r w:rsidRPr="00CC5149">
        <w:rPr>
          <w:rFonts w:ascii="Times New Roman" w:hAnsi="Times New Roman" w:cs="Times New Roman"/>
        </w:rPr>
        <w:t>до плану</w:t>
      </w:r>
      <w:r w:rsidRPr="00CC5149">
        <w:rPr>
          <w:rFonts w:ascii="Times New Roman" w:hAnsi="Times New Roman" w:cs="Times New Roman"/>
          <w:b/>
        </w:rPr>
        <w:t xml:space="preserve"> в сумі 9 969,9 тис. грн.,</w:t>
      </w:r>
      <w:r w:rsidRPr="00CC5149">
        <w:rPr>
          <w:rFonts w:ascii="Times New Roman" w:hAnsi="Times New Roman" w:cs="Times New Roman"/>
        </w:rPr>
        <w:t xml:space="preserve"> в тому числі кошти</w:t>
      </w:r>
      <w:r w:rsidRPr="00CC5149">
        <w:rPr>
          <w:rFonts w:ascii="Times New Roman" w:hAnsi="Times New Roman" w:cs="Times New Roman"/>
          <w:b/>
        </w:rPr>
        <w:t xml:space="preserve"> бюджету розвитку – 3 684,1 тис. грн. </w:t>
      </w:r>
      <w:r w:rsidRPr="00CC5149">
        <w:rPr>
          <w:rFonts w:ascii="Times New Roman" w:hAnsi="Times New Roman" w:cs="Times New Roman"/>
        </w:rPr>
        <w:t>Видатки спецфонду менші</w:t>
      </w:r>
      <w:r w:rsidR="00726E04" w:rsidRPr="00CC5149">
        <w:rPr>
          <w:rFonts w:ascii="Times New Roman" w:hAnsi="Times New Roman" w:cs="Times New Roman"/>
        </w:rPr>
        <w:t xml:space="preserve"> на </w:t>
      </w:r>
      <w:r w:rsidR="005D2FB3" w:rsidRPr="00CC5149">
        <w:rPr>
          <w:rFonts w:ascii="Times New Roman" w:hAnsi="Times New Roman" w:cs="Times New Roman"/>
        </w:rPr>
        <w:t>3 711,6</w:t>
      </w:r>
      <w:r w:rsidRPr="00CC5149">
        <w:rPr>
          <w:rFonts w:ascii="Times New Roman" w:hAnsi="Times New Roman" w:cs="Times New Roman"/>
        </w:rPr>
        <w:t xml:space="preserve"> тис. грн. </w:t>
      </w:r>
      <w:r w:rsidR="00726E04" w:rsidRPr="00CC5149">
        <w:rPr>
          <w:rFonts w:ascii="Times New Roman" w:hAnsi="Times New Roman" w:cs="Times New Roman"/>
        </w:rPr>
        <w:t xml:space="preserve"> ніж </w:t>
      </w:r>
      <w:r w:rsidRPr="00CC5149">
        <w:rPr>
          <w:rFonts w:ascii="Times New Roman" w:hAnsi="Times New Roman" w:cs="Times New Roman"/>
        </w:rPr>
        <w:t>за перші два квартали минулого року</w:t>
      </w:r>
      <w:r w:rsidR="00726E04" w:rsidRPr="00CC5149">
        <w:rPr>
          <w:rFonts w:ascii="Times New Roman" w:hAnsi="Times New Roman" w:cs="Times New Roman"/>
        </w:rPr>
        <w:t xml:space="preserve"> (-</w:t>
      </w:r>
      <w:r w:rsidR="005D2FB3" w:rsidRPr="00CC5149">
        <w:rPr>
          <w:rFonts w:ascii="Times New Roman" w:hAnsi="Times New Roman" w:cs="Times New Roman"/>
        </w:rPr>
        <w:t>27,1</w:t>
      </w:r>
      <w:r w:rsidR="00726E04" w:rsidRPr="00CC5149">
        <w:rPr>
          <w:rFonts w:ascii="Times New Roman" w:hAnsi="Times New Roman" w:cs="Times New Roman"/>
        </w:rPr>
        <w:t>%)</w:t>
      </w:r>
      <w:r w:rsidR="006369E7">
        <w:rPr>
          <w:rFonts w:ascii="Times New Roman" w:hAnsi="Times New Roman" w:cs="Times New Roman"/>
        </w:rPr>
        <w:t>.</w:t>
      </w:r>
    </w:p>
    <w:p w:rsidR="00BF04F0" w:rsidRDefault="00BF04F0" w:rsidP="00B009B6">
      <w:pPr>
        <w:ind w:firstLine="708"/>
        <w:jc w:val="both"/>
      </w:pPr>
    </w:p>
    <w:p w:rsidR="004835F6" w:rsidRDefault="004835F6" w:rsidP="006369E7">
      <w:pPr>
        <w:jc w:val="center"/>
        <w:rPr>
          <w:b/>
          <w:i/>
        </w:rPr>
      </w:pPr>
      <w:r w:rsidRPr="001514F2">
        <w:rPr>
          <w:b/>
          <w:i/>
        </w:rPr>
        <w:t xml:space="preserve">За функціональною ознакою видатків місцевих </w:t>
      </w:r>
      <w:r>
        <w:rPr>
          <w:b/>
          <w:i/>
        </w:rPr>
        <w:t xml:space="preserve"> </w:t>
      </w:r>
      <w:r w:rsidRPr="001514F2">
        <w:rPr>
          <w:b/>
          <w:i/>
        </w:rPr>
        <w:t>бюджетів:</w:t>
      </w:r>
    </w:p>
    <w:p w:rsidR="004835F6" w:rsidRPr="00485502" w:rsidRDefault="004835F6" w:rsidP="00B009B6">
      <w:pPr>
        <w:jc w:val="center"/>
        <w:rPr>
          <w:b/>
          <w:u w:val="single"/>
        </w:rPr>
      </w:pPr>
    </w:p>
    <w:p w:rsidR="00B009B6" w:rsidRPr="009D3C83" w:rsidRDefault="00B009B6" w:rsidP="006369E7">
      <w:pPr>
        <w:ind w:hanging="993"/>
        <w:jc w:val="center"/>
      </w:pPr>
      <w:r>
        <w:rPr>
          <w:noProof/>
          <w:lang w:eastAsia="uk-UA"/>
        </w:rPr>
        <w:drawing>
          <wp:inline distT="0" distB="0" distL="0" distR="0">
            <wp:extent cx="6858000" cy="4295775"/>
            <wp:effectExtent l="57150" t="57150" r="38100" b="476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B30C3" w:rsidRDefault="00DB30C3" w:rsidP="006501D5">
      <w:pPr>
        <w:jc w:val="center"/>
        <w:rPr>
          <w:b/>
        </w:rPr>
      </w:pPr>
    </w:p>
    <w:p w:rsidR="006501D5" w:rsidRPr="003A119D" w:rsidRDefault="006501D5" w:rsidP="006501D5">
      <w:pPr>
        <w:jc w:val="center"/>
        <w:rPr>
          <w:b/>
        </w:rPr>
      </w:pPr>
      <w:r w:rsidRPr="003A119D">
        <w:rPr>
          <w:b/>
        </w:rPr>
        <w:lastRenderedPageBreak/>
        <w:t>Державне управління</w:t>
      </w:r>
    </w:p>
    <w:p w:rsidR="006501D5" w:rsidRDefault="006501D5" w:rsidP="006501D5">
      <w:pPr>
        <w:ind w:firstLine="708"/>
        <w:jc w:val="both"/>
      </w:pPr>
    </w:p>
    <w:p w:rsidR="00461665" w:rsidRDefault="006501D5" w:rsidP="006501D5">
      <w:pPr>
        <w:ind w:firstLine="708"/>
        <w:jc w:val="both"/>
      </w:pPr>
      <w:r w:rsidRPr="00AC6142">
        <w:t>На утримання галузі «Державне управління»</w:t>
      </w:r>
      <w:r>
        <w:t xml:space="preserve"> </w:t>
      </w:r>
      <w:r w:rsidR="00DE3C89">
        <w:t xml:space="preserve">спрямовано </w:t>
      </w:r>
      <w:r w:rsidR="00B8709A">
        <w:rPr>
          <w:b/>
        </w:rPr>
        <w:t>12,6</w:t>
      </w:r>
      <w:r w:rsidR="00DE3C89" w:rsidRPr="00461665">
        <w:rPr>
          <w:b/>
        </w:rPr>
        <w:t>%</w:t>
      </w:r>
      <w:r w:rsidR="00DE3C89">
        <w:t xml:space="preserve"> з </w:t>
      </w:r>
      <w:r w:rsidR="00461665">
        <w:t xml:space="preserve">місцевого бюджету в сумі </w:t>
      </w:r>
      <w:r w:rsidR="00CF6A80">
        <w:rPr>
          <w:b/>
        </w:rPr>
        <w:t>17 057,4</w:t>
      </w:r>
      <w:r w:rsidR="00461665" w:rsidRPr="00461665">
        <w:rPr>
          <w:b/>
        </w:rPr>
        <w:t xml:space="preserve"> тис. грн</w:t>
      </w:r>
      <w:r w:rsidR="00461665">
        <w:t>., з них:</w:t>
      </w:r>
    </w:p>
    <w:p w:rsidR="00461665" w:rsidRDefault="00461665" w:rsidP="006501D5">
      <w:pPr>
        <w:ind w:firstLine="708"/>
        <w:jc w:val="both"/>
      </w:pPr>
      <w:r>
        <w:t xml:space="preserve">по </w:t>
      </w:r>
      <w:r w:rsidRPr="00461665">
        <w:rPr>
          <w:b/>
        </w:rPr>
        <w:t>загальному фонду</w:t>
      </w:r>
      <w:r>
        <w:t xml:space="preserve"> </w:t>
      </w:r>
      <w:r w:rsidR="006501D5">
        <w:t xml:space="preserve">при </w:t>
      </w:r>
      <w:r>
        <w:t>п</w:t>
      </w:r>
      <w:r w:rsidR="006501D5">
        <w:t xml:space="preserve">ланові </w:t>
      </w:r>
      <w:r w:rsidR="00CF6A80">
        <w:t>16 766,2</w:t>
      </w:r>
      <w:r>
        <w:t xml:space="preserve"> тис. грн.</w:t>
      </w:r>
      <w:r w:rsidR="006501D5" w:rsidRPr="00AC6142">
        <w:t xml:space="preserve"> використано</w:t>
      </w:r>
      <w:r w:rsidR="006501D5">
        <w:t xml:space="preserve"> </w:t>
      </w:r>
      <w:r w:rsidR="00CF6A80">
        <w:rPr>
          <w:b/>
        </w:rPr>
        <w:t>16 094,4</w:t>
      </w:r>
      <w:r w:rsidRPr="00461665">
        <w:rPr>
          <w:b/>
        </w:rPr>
        <w:t xml:space="preserve"> тис. грн.</w:t>
      </w:r>
      <w:r w:rsidR="006501D5">
        <w:t xml:space="preserve">, що складає </w:t>
      </w:r>
      <w:r w:rsidR="00CF6A80">
        <w:t>96,0</w:t>
      </w:r>
      <w:r w:rsidR="006501D5" w:rsidRPr="00AC6142">
        <w:t xml:space="preserve">% </w:t>
      </w:r>
      <w:r w:rsidR="006501D5">
        <w:t>від</w:t>
      </w:r>
      <w:r w:rsidR="006501D5" w:rsidRPr="00AC6142">
        <w:t xml:space="preserve"> запланованих видатків</w:t>
      </w:r>
      <w:r w:rsidR="006501D5">
        <w:t xml:space="preserve"> на звітний період та більше</w:t>
      </w:r>
      <w:r w:rsidR="006501D5" w:rsidRPr="005160DD">
        <w:t xml:space="preserve"> на </w:t>
      </w:r>
      <w:r w:rsidR="00CF6A80">
        <w:t>3 647,7</w:t>
      </w:r>
      <w:r w:rsidR="006501D5">
        <w:t xml:space="preserve"> </w:t>
      </w:r>
      <w:r w:rsidR="006501D5" w:rsidRPr="005160DD">
        <w:t>тис. грн</w:t>
      </w:r>
      <w:r w:rsidR="006501D5">
        <w:t xml:space="preserve">. </w:t>
      </w:r>
      <w:r w:rsidR="006501D5" w:rsidRPr="005160DD">
        <w:t xml:space="preserve">ніж </w:t>
      </w:r>
      <w:r w:rsidR="006501D5">
        <w:t xml:space="preserve">фінансування галузі в аналогічному періоді </w:t>
      </w:r>
      <w:r w:rsidR="006501D5" w:rsidRPr="005160DD">
        <w:t>минуло</w:t>
      </w:r>
      <w:r w:rsidR="006501D5">
        <w:t>го року (+</w:t>
      </w:r>
      <w:r>
        <w:t>2</w:t>
      </w:r>
      <w:r w:rsidR="00CF6A80">
        <w:t>9,3</w:t>
      </w:r>
      <w:r w:rsidR="006501D5" w:rsidRPr="005160DD">
        <w:t>%)</w:t>
      </w:r>
      <w:r>
        <w:t>;</w:t>
      </w:r>
    </w:p>
    <w:p w:rsidR="00461665" w:rsidRDefault="00461665" w:rsidP="006501D5">
      <w:pPr>
        <w:ind w:firstLine="708"/>
        <w:jc w:val="both"/>
      </w:pPr>
      <w:r>
        <w:t xml:space="preserve">по </w:t>
      </w:r>
      <w:r w:rsidRPr="00461665">
        <w:rPr>
          <w:b/>
        </w:rPr>
        <w:t>спеціальному фонді</w:t>
      </w:r>
      <w:r>
        <w:t xml:space="preserve"> фактичні видатки становлять </w:t>
      </w:r>
      <w:r w:rsidR="00CF6A80">
        <w:rPr>
          <w:b/>
        </w:rPr>
        <w:t>963,0</w:t>
      </w:r>
      <w:r w:rsidRPr="00461665">
        <w:rPr>
          <w:b/>
        </w:rPr>
        <w:t xml:space="preserve"> тис. грн</w:t>
      </w:r>
      <w:r>
        <w:t xml:space="preserve">., в тому числі </w:t>
      </w:r>
      <w:r w:rsidRPr="00461665">
        <w:rPr>
          <w:b/>
        </w:rPr>
        <w:t>кошти бюджету розвитку – 697,8 тис. грн.</w:t>
      </w:r>
      <w:r w:rsidR="006501D5">
        <w:t xml:space="preserve"> </w:t>
      </w:r>
    </w:p>
    <w:p w:rsidR="006501D5" w:rsidRPr="00A6306B" w:rsidRDefault="00461665" w:rsidP="00E4538F">
      <w:pPr>
        <w:tabs>
          <w:tab w:val="left" w:pos="1134"/>
        </w:tabs>
        <w:ind w:firstLine="851"/>
        <w:jc w:val="both"/>
      </w:pPr>
      <w:r w:rsidRPr="001514F2">
        <w:rPr>
          <w:kern w:val="2"/>
        </w:rPr>
        <w:t>У загальній сумі враховано видатки на виконання цільових (комплексних) програм:</w:t>
      </w:r>
      <w:r w:rsidR="006501D5">
        <w:t xml:space="preserve"> </w:t>
      </w:r>
      <w:r w:rsidR="00C85B2A">
        <w:t xml:space="preserve">на </w:t>
      </w:r>
      <w:r w:rsidR="006501D5" w:rsidRPr="00A4513E">
        <w:t>Програму сприяння розвитку та забезпечення функціонування комунальної установи "Трудовий</w:t>
      </w:r>
      <w:r w:rsidR="006501D5" w:rsidRPr="00540FE4">
        <w:t xml:space="preserve"> архів Диканської селищної ради" на 2022-2024 роки</w:t>
      </w:r>
      <w:r w:rsidR="006501D5">
        <w:t xml:space="preserve"> в сумі </w:t>
      </w:r>
      <w:r w:rsidR="00E4538F">
        <w:rPr>
          <w:lang w:val="ru-RU"/>
        </w:rPr>
        <w:t>186,0</w:t>
      </w:r>
      <w:r w:rsidR="006501D5">
        <w:t xml:space="preserve">  тис. грн. або </w:t>
      </w:r>
      <w:r w:rsidR="00BB4124">
        <w:t xml:space="preserve">профінансовано програму на </w:t>
      </w:r>
      <w:r w:rsidR="00E4538F">
        <w:rPr>
          <w:lang w:val="ru-RU"/>
        </w:rPr>
        <w:t>90,6</w:t>
      </w:r>
      <w:r w:rsidR="00E4538F">
        <w:t>% до плану;</w:t>
      </w:r>
      <w:r w:rsidR="006501D5" w:rsidRPr="00A6306B">
        <w:t xml:space="preserve"> </w:t>
      </w:r>
      <w:r w:rsidR="006501D5">
        <w:t xml:space="preserve"> </w:t>
      </w:r>
      <w:r w:rsidR="00C85B2A">
        <w:t xml:space="preserve">на </w:t>
      </w:r>
      <w:r w:rsidR="006501D5" w:rsidRPr="00A6306B">
        <w:rPr>
          <w:rFonts w:eastAsia="Arial"/>
        </w:rPr>
        <w:t>Програм</w:t>
      </w:r>
      <w:r w:rsidR="006501D5">
        <w:rPr>
          <w:rFonts w:eastAsia="Arial"/>
        </w:rPr>
        <w:t>у</w:t>
      </w:r>
      <w:r w:rsidR="006501D5" w:rsidRPr="00A6306B">
        <w:rPr>
          <w:rFonts w:eastAsia="Arial"/>
        </w:rPr>
        <w:t xml:space="preserve"> розвитку місцевого самоврядування Диканської селищної ради на 202</w:t>
      </w:r>
      <w:r w:rsidR="00C85B2A">
        <w:rPr>
          <w:rFonts w:eastAsia="Arial"/>
        </w:rPr>
        <w:t xml:space="preserve">4 </w:t>
      </w:r>
      <w:r w:rsidR="006501D5" w:rsidRPr="00A6306B">
        <w:rPr>
          <w:rFonts w:eastAsia="Arial"/>
        </w:rPr>
        <w:t>рік</w:t>
      </w:r>
      <w:r w:rsidR="006501D5">
        <w:rPr>
          <w:rFonts w:eastAsia="Arial"/>
        </w:rPr>
        <w:t xml:space="preserve"> в розмірі </w:t>
      </w:r>
      <w:r w:rsidR="00E4538F">
        <w:rPr>
          <w:rFonts w:eastAsia="Arial"/>
        </w:rPr>
        <w:t>75,0</w:t>
      </w:r>
      <w:r w:rsidR="006501D5">
        <w:rPr>
          <w:rFonts w:eastAsia="Arial"/>
        </w:rPr>
        <w:t xml:space="preserve"> тис. грн</w:t>
      </w:r>
      <w:r w:rsidR="00BB4124">
        <w:rPr>
          <w:rFonts w:eastAsia="Arial"/>
        </w:rPr>
        <w:t>.</w:t>
      </w:r>
      <w:r w:rsidR="006501D5">
        <w:rPr>
          <w:rFonts w:eastAsia="Arial"/>
        </w:rPr>
        <w:t xml:space="preserve">, що складає </w:t>
      </w:r>
      <w:r w:rsidR="00E4538F">
        <w:rPr>
          <w:rFonts w:eastAsia="Arial"/>
        </w:rPr>
        <w:t>83,3</w:t>
      </w:r>
      <w:r w:rsidR="006501D5">
        <w:rPr>
          <w:rFonts w:eastAsia="Arial"/>
        </w:rPr>
        <w:t>% від уточненого плану на звітний період.</w:t>
      </w:r>
    </w:p>
    <w:p w:rsidR="00C85B2A" w:rsidRDefault="00C85B2A" w:rsidP="00C85B2A">
      <w:pPr>
        <w:ind w:firstLine="708"/>
        <w:jc w:val="both"/>
      </w:pPr>
      <w:r>
        <w:t xml:space="preserve">За </w:t>
      </w:r>
      <w:r w:rsidR="006501D5">
        <w:t xml:space="preserve"> кошти </w:t>
      </w:r>
      <w:r w:rsidR="006501D5" w:rsidRPr="00C65E22">
        <w:rPr>
          <w:b/>
        </w:rPr>
        <w:t>бюджету розвитку</w:t>
      </w:r>
      <w:r w:rsidR="006501D5">
        <w:t xml:space="preserve"> </w:t>
      </w:r>
      <w:r>
        <w:t>придбано:</w:t>
      </w:r>
    </w:p>
    <w:p w:rsidR="00C85B2A" w:rsidRDefault="00C85B2A" w:rsidP="00A7451B">
      <w:pPr>
        <w:pStyle w:val="af3"/>
        <w:numPr>
          <w:ilvl w:val="0"/>
          <w:numId w:val="14"/>
        </w:numPr>
        <w:ind w:left="0" w:firstLine="709"/>
        <w:jc w:val="both"/>
      </w:pPr>
      <w:r>
        <w:t>робочу станцію</w:t>
      </w:r>
      <w:r w:rsidR="00A7451B">
        <w:t xml:space="preserve"> для оформлення і</w:t>
      </w:r>
      <w:r>
        <w:t xml:space="preserve"> видачі паспортних документів </w:t>
      </w:r>
      <w:r w:rsidR="00A7451B">
        <w:t>а</w:t>
      </w:r>
      <w:r w:rsidR="00BB4124">
        <w:t xml:space="preserve"> також</w:t>
      </w:r>
      <w:r w:rsidR="00A7451B">
        <w:t xml:space="preserve"> телекомунікаційне обладнання для організації  каналу конфіденційного зв’язку (комутатор, джерело безперебійного живлення, засіб КЗІ «Канал-101ДЕ) на суму 652,8 тис. грн. для Центру надання адміністративних послуг Диканської селищної ради</w:t>
      </w:r>
      <w:r>
        <w:t>;</w:t>
      </w:r>
    </w:p>
    <w:p w:rsidR="00A7451B" w:rsidRPr="00A7451B" w:rsidRDefault="00C85B2A" w:rsidP="00A7451B">
      <w:pPr>
        <w:pStyle w:val="af3"/>
        <w:numPr>
          <w:ilvl w:val="0"/>
          <w:numId w:val="14"/>
        </w:numPr>
        <w:ind w:left="0" w:firstLine="360"/>
        <w:jc w:val="both"/>
        <w:rPr>
          <w:b/>
        </w:rPr>
      </w:pPr>
      <w:r>
        <w:t>системн</w:t>
      </w:r>
      <w:r w:rsidR="00A7451B">
        <w:t>ий</w:t>
      </w:r>
      <w:r>
        <w:t xml:space="preserve"> блок</w:t>
      </w:r>
      <w:r w:rsidR="00A7451B">
        <w:t xml:space="preserve"> вартіст</w:t>
      </w:r>
      <w:r w:rsidR="00BB4124">
        <w:t>ю</w:t>
      </w:r>
      <w:r w:rsidR="00A7451B">
        <w:t xml:space="preserve"> 22,7 тис. грн.</w:t>
      </w:r>
      <w:r>
        <w:t xml:space="preserve"> для відділу містобудування</w:t>
      </w:r>
      <w:r w:rsidR="00A7451B">
        <w:t>, архітектури та житлово-комунального господарства Диканської селищної ради;</w:t>
      </w:r>
    </w:p>
    <w:p w:rsidR="006501D5" w:rsidRPr="004B7BF8" w:rsidRDefault="00A7451B" w:rsidP="00A7451B">
      <w:pPr>
        <w:pStyle w:val="af3"/>
        <w:numPr>
          <w:ilvl w:val="0"/>
          <w:numId w:val="14"/>
        </w:numPr>
        <w:ind w:left="0" w:firstLine="360"/>
        <w:jc w:val="both"/>
        <w:rPr>
          <w:b/>
        </w:rPr>
      </w:pPr>
      <w:r>
        <w:t xml:space="preserve">комп’ютер в комплекті </w:t>
      </w:r>
      <w:r w:rsidR="004B7BF8">
        <w:t>на суму 22,3 тис. грн. для</w:t>
      </w:r>
      <w:r w:rsidR="00C85B2A">
        <w:t xml:space="preserve"> загального відділу </w:t>
      </w:r>
      <w:r w:rsidR="004B7BF8">
        <w:t>виконавчого комітету Диканської селищної ради.</w:t>
      </w:r>
    </w:p>
    <w:p w:rsidR="004B7BF8" w:rsidRDefault="004B7BF8" w:rsidP="00BB4124">
      <w:pPr>
        <w:pStyle w:val="af3"/>
        <w:ind w:left="360"/>
        <w:jc w:val="both"/>
        <w:rPr>
          <w:b/>
        </w:rPr>
      </w:pPr>
    </w:p>
    <w:p w:rsidR="007D72A3" w:rsidRPr="003A119D" w:rsidRDefault="007D72A3" w:rsidP="0032774B">
      <w:pPr>
        <w:ind w:left="3540" w:firstLine="708"/>
        <w:rPr>
          <w:b/>
        </w:rPr>
      </w:pPr>
      <w:r w:rsidRPr="003A119D">
        <w:rPr>
          <w:b/>
        </w:rPr>
        <w:t>Освіта</w:t>
      </w:r>
    </w:p>
    <w:p w:rsidR="00017BCA" w:rsidRPr="005160DD" w:rsidRDefault="00017BCA" w:rsidP="00B009B6">
      <w:pPr>
        <w:jc w:val="center"/>
        <w:rPr>
          <w:b/>
          <w:u w:val="single"/>
        </w:rPr>
      </w:pPr>
    </w:p>
    <w:p w:rsidR="00091B55" w:rsidRDefault="0078346F" w:rsidP="00091B55">
      <w:pPr>
        <w:pStyle w:val="af5"/>
        <w:widowControl w:val="0"/>
        <w:tabs>
          <w:tab w:val="left" w:pos="709"/>
          <w:tab w:val="left" w:pos="1080"/>
          <w:tab w:val="num" w:pos="1134"/>
          <w:tab w:val="left" w:pos="1560"/>
          <w:tab w:val="num" w:pos="3025"/>
        </w:tabs>
        <w:spacing w:after="0"/>
        <w:ind w:left="0" w:firstLine="709"/>
        <w:jc w:val="both"/>
        <w:rPr>
          <w:color w:val="000000" w:themeColor="text1"/>
          <w:kern w:val="2"/>
          <w:sz w:val="28"/>
          <w:szCs w:val="28"/>
          <w:lang w:val="uk-UA"/>
        </w:rPr>
      </w:pPr>
      <w:r>
        <w:rPr>
          <w:b/>
          <w:color w:val="000000"/>
          <w:kern w:val="2"/>
          <w:sz w:val="28"/>
          <w:szCs w:val="28"/>
          <w:lang w:val="uk-UA"/>
        </w:rPr>
        <w:t xml:space="preserve">Левова частина </w:t>
      </w:r>
      <w:r w:rsidR="00091B55" w:rsidRPr="0078346F">
        <w:rPr>
          <w:color w:val="000000"/>
          <w:kern w:val="2"/>
          <w:sz w:val="28"/>
          <w:szCs w:val="28"/>
          <w:lang w:val="uk-UA"/>
        </w:rPr>
        <w:t>видатків бюджету</w:t>
      </w:r>
      <w:r w:rsidRPr="0078346F">
        <w:rPr>
          <w:color w:val="000000"/>
          <w:kern w:val="2"/>
          <w:sz w:val="28"/>
          <w:szCs w:val="28"/>
          <w:lang w:val="uk-UA"/>
        </w:rPr>
        <w:t>,</w:t>
      </w:r>
      <w:r>
        <w:rPr>
          <w:b/>
          <w:color w:val="000000"/>
          <w:kern w:val="2"/>
          <w:sz w:val="28"/>
          <w:szCs w:val="28"/>
          <w:lang w:val="uk-UA"/>
        </w:rPr>
        <w:t xml:space="preserve"> </w:t>
      </w:r>
      <w:r w:rsidRPr="0078346F">
        <w:rPr>
          <w:color w:val="000000"/>
          <w:kern w:val="2"/>
          <w:sz w:val="28"/>
          <w:szCs w:val="28"/>
          <w:lang w:val="uk-UA"/>
        </w:rPr>
        <w:t>а саме</w:t>
      </w:r>
      <w:r>
        <w:rPr>
          <w:b/>
          <w:color w:val="000000"/>
          <w:kern w:val="2"/>
          <w:sz w:val="28"/>
          <w:szCs w:val="28"/>
          <w:lang w:val="uk-UA"/>
        </w:rPr>
        <w:t xml:space="preserve"> </w:t>
      </w:r>
      <w:r w:rsidRPr="0087643D">
        <w:rPr>
          <w:b/>
          <w:color w:val="000000"/>
          <w:kern w:val="2"/>
          <w:sz w:val="28"/>
          <w:szCs w:val="28"/>
          <w:lang w:val="uk-UA"/>
        </w:rPr>
        <w:t>5</w:t>
      </w:r>
      <w:r>
        <w:rPr>
          <w:b/>
          <w:color w:val="000000"/>
          <w:kern w:val="2"/>
          <w:sz w:val="28"/>
          <w:szCs w:val="28"/>
          <w:lang w:val="uk-UA"/>
        </w:rPr>
        <w:t>8</w:t>
      </w:r>
      <w:r w:rsidRPr="0087643D">
        <w:rPr>
          <w:b/>
          <w:color w:val="000000"/>
          <w:kern w:val="2"/>
          <w:sz w:val="28"/>
          <w:szCs w:val="28"/>
          <w:lang w:val="uk-UA"/>
        </w:rPr>
        <w:t>,</w:t>
      </w:r>
      <w:r>
        <w:rPr>
          <w:b/>
          <w:color w:val="000000"/>
          <w:kern w:val="2"/>
          <w:sz w:val="28"/>
          <w:szCs w:val="28"/>
          <w:lang w:val="uk-UA"/>
        </w:rPr>
        <w:t>2</w:t>
      </w:r>
      <w:r w:rsidRPr="0087643D">
        <w:rPr>
          <w:b/>
          <w:color w:val="000000"/>
          <w:kern w:val="2"/>
          <w:sz w:val="28"/>
          <w:szCs w:val="28"/>
          <w:lang w:val="uk-UA"/>
        </w:rPr>
        <w:t xml:space="preserve">% </w:t>
      </w:r>
      <w:r w:rsidR="00091B55">
        <w:rPr>
          <w:color w:val="000000"/>
          <w:kern w:val="2"/>
          <w:sz w:val="28"/>
          <w:szCs w:val="28"/>
          <w:lang w:val="uk-UA"/>
        </w:rPr>
        <w:t xml:space="preserve"> – це в</w:t>
      </w:r>
      <w:r w:rsidR="00091B55" w:rsidRPr="001514F2">
        <w:rPr>
          <w:color w:val="000000"/>
          <w:kern w:val="2"/>
          <w:sz w:val="28"/>
          <w:szCs w:val="28"/>
          <w:lang w:val="uk-UA"/>
        </w:rPr>
        <w:t>идатки</w:t>
      </w:r>
      <w:r w:rsidR="00091B55">
        <w:rPr>
          <w:color w:val="000000"/>
          <w:kern w:val="2"/>
          <w:sz w:val="28"/>
          <w:szCs w:val="28"/>
          <w:lang w:val="uk-UA"/>
        </w:rPr>
        <w:t xml:space="preserve"> на </w:t>
      </w:r>
      <w:r w:rsidR="00091B55" w:rsidRPr="001514F2">
        <w:rPr>
          <w:color w:val="000000"/>
          <w:kern w:val="2"/>
          <w:sz w:val="28"/>
          <w:szCs w:val="28"/>
          <w:lang w:val="uk-UA"/>
        </w:rPr>
        <w:t xml:space="preserve"> галуз</w:t>
      </w:r>
      <w:r w:rsidR="00091B55">
        <w:rPr>
          <w:color w:val="000000"/>
          <w:kern w:val="2"/>
          <w:sz w:val="28"/>
          <w:szCs w:val="28"/>
          <w:lang w:val="uk-UA"/>
        </w:rPr>
        <w:t>ь</w:t>
      </w:r>
      <w:r w:rsidR="00091B55" w:rsidRPr="001514F2">
        <w:rPr>
          <w:color w:val="000000"/>
          <w:kern w:val="2"/>
          <w:sz w:val="28"/>
          <w:szCs w:val="28"/>
          <w:lang w:val="uk-UA"/>
        </w:rPr>
        <w:t xml:space="preserve"> «Освіта»</w:t>
      </w:r>
      <w:r>
        <w:rPr>
          <w:color w:val="000000"/>
          <w:kern w:val="2"/>
          <w:sz w:val="28"/>
          <w:szCs w:val="28"/>
          <w:lang w:val="uk-UA"/>
        </w:rPr>
        <w:t>, які проведені</w:t>
      </w:r>
      <w:r w:rsidR="00091B55" w:rsidRPr="001514F2">
        <w:rPr>
          <w:color w:val="000000"/>
          <w:kern w:val="2"/>
          <w:sz w:val="28"/>
          <w:szCs w:val="28"/>
          <w:lang w:val="uk-UA"/>
        </w:rPr>
        <w:t xml:space="preserve"> </w:t>
      </w:r>
      <w:r w:rsidR="00091B55">
        <w:rPr>
          <w:color w:val="000000"/>
          <w:kern w:val="2"/>
          <w:sz w:val="28"/>
          <w:szCs w:val="28"/>
          <w:lang w:val="uk-UA"/>
        </w:rPr>
        <w:t>в сумі</w:t>
      </w:r>
      <w:r w:rsidR="00091B55" w:rsidRPr="001514F2">
        <w:rPr>
          <w:color w:val="000000"/>
          <w:kern w:val="2"/>
          <w:sz w:val="28"/>
          <w:szCs w:val="28"/>
          <w:lang w:val="uk-UA"/>
        </w:rPr>
        <w:t> </w:t>
      </w:r>
      <w:r>
        <w:rPr>
          <w:b/>
          <w:color w:val="000000"/>
          <w:kern w:val="2"/>
          <w:sz w:val="28"/>
          <w:szCs w:val="28"/>
          <w:lang w:val="uk-UA"/>
        </w:rPr>
        <w:t>78 972,5</w:t>
      </w:r>
      <w:r w:rsidR="00091B55" w:rsidRPr="0087643D">
        <w:rPr>
          <w:b/>
          <w:color w:val="000000"/>
          <w:kern w:val="2"/>
          <w:sz w:val="28"/>
          <w:szCs w:val="28"/>
          <w:lang w:val="uk-UA"/>
        </w:rPr>
        <w:t xml:space="preserve"> тис. грн.</w:t>
      </w:r>
      <w:r w:rsidR="00091B55" w:rsidRPr="001514F2">
        <w:rPr>
          <w:color w:val="000000"/>
          <w:kern w:val="2"/>
          <w:sz w:val="28"/>
          <w:szCs w:val="28"/>
          <w:lang w:val="uk-UA"/>
        </w:rPr>
        <w:t>,</w:t>
      </w:r>
      <w:r w:rsidR="00091B55">
        <w:rPr>
          <w:color w:val="000000"/>
          <w:kern w:val="2"/>
          <w:sz w:val="28"/>
          <w:szCs w:val="28"/>
          <w:lang w:val="uk-UA"/>
        </w:rPr>
        <w:t xml:space="preserve"> що більше витрат за січень-</w:t>
      </w:r>
      <w:r w:rsidR="000E6C82">
        <w:rPr>
          <w:color w:val="000000"/>
          <w:kern w:val="2"/>
          <w:sz w:val="28"/>
          <w:szCs w:val="28"/>
          <w:lang w:val="uk-UA"/>
        </w:rPr>
        <w:t xml:space="preserve">червень </w:t>
      </w:r>
      <w:r w:rsidR="00091B55">
        <w:rPr>
          <w:color w:val="000000"/>
          <w:kern w:val="2"/>
          <w:sz w:val="28"/>
          <w:szCs w:val="28"/>
          <w:lang w:val="uk-UA"/>
        </w:rPr>
        <w:t xml:space="preserve">2023 року на </w:t>
      </w:r>
      <w:r w:rsidR="000E6C82">
        <w:rPr>
          <w:color w:val="000000"/>
          <w:kern w:val="2"/>
          <w:sz w:val="28"/>
          <w:szCs w:val="28"/>
          <w:lang w:val="uk-UA"/>
        </w:rPr>
        <w:t>7 989,8</w:t>
      </w:r>
      <w:r w:rsidR="00091B55" w:rsidRPr="001514F2">
        <w:rPr>
          <w:color w:val="FF0000"/>
          <w:kern w:val="2"/>
          <w:sz w:val="28"/>
          <w:szCs w:val="28"/>
          <w:lang w:val="uk-UA"/>
        </w:rPr>
        <w:t xml:space="preserve"> </w:t>
      </w:r>
      <w:r w:rsidR="00091B55" w:rsidRPr="00091B55">
        <w:rPr>
          <w:color w:val="000000" w:themeColor="text1"/>
          <w:kern w:val="2"/>
          <w:sz w:val="28"/>
          <w:szCs w:val="28"/>
          <w:lang w:val="uk-UA"/>
        </w:rPr>
        <w:t>тис. грн.</w:t>
      </w:r>
      <w:r w:rsidR="00091B55">
        <w:rPr>
          <w:color w:val="000000" w:themeColor="text1"/>
          <w:kern w:val="2"/>
          <w:sz w:val="28"/>
          <w:szCs w:val="28"/>
          <w:lang w:val="uk-UA"/>
        </w:rPr>
        <w:t>,</w:t>
      </w:r>
      <w:r w:rsidR="00091B55" w:rsidRPr="00091B55">
        <w:rPr>
          <w:color w:val="000000" w:themeColor="text1"/>
          <w:kern w:val="2"/>
          <w:sz w:val="28"/>
          <w:szCs w:val="28"/>
          <w:lang w:val="uk-UA"/>
        </w:rPr>
        <w:t xml:space="preserve"> </w:t>
      </w:r>
      <w:r w:rsidR="00091B55">
        <w:rPr>
          <w:color w:val="000000" w:themeColor="text1"/>
          <w:kern w:val="2"/>
          <w:sz w:val="28"/>
          <w:szCs w:val="28"/>
          <w:lang w:val="uk-UA"/>
        </w:rPr>
        <w:t>з</w:t>
      </w:r>
      <w:r w:rsidR="00091B55" w:rsidRPr="00091B55">
        <w:rPr>
          <w:color w:val="000000" w:themeColor="text1"/>
          <w:kern w:val="2"/>
          <w:sz w:val="28"/>
          <w:szCs w:val="28"/>
          <w:lang w:val="uk-UA"/>
        </w:rPr>
        <w:t xml:space="preserve"> них</w:t>
      </w:r>
      <w:r w:rsidR="00091B55">
        <w:rPr>
          <w:color w:val="000000" w:themeColor="text1"/>
          <w:kern w:val="2"/>
          <w:sz w:val="28"/>
          <w:szCs w:val="28"/>
          <w:lang w:val="uk-UA"/>
        </w:rPr>
        <w:t>:</w:t>
      </w:r>
    </w:p>
    <w:p w:rsidR="00E24851" w:rsidRDefault="00C948F9" w:rsidP="00091B55">
      <w:pPr>
        <w:pStyle w:val="af5"/>
        <w:widowControl w:val="0"/>
        <w:tabs>
          <w:tab w:val="left" w:pos="709"/>
          <w:tab w:val="left" w:pos="1080"/>
          <w:tab w:val="num" w:pos="1134"/>
          <w:tab w:val="left" w:pos="1560"/>
          <w:tab w:val="num" w:pos="3025"/>
        </w:tabs>
        <w:spacing w:after="0"/>
        <w:ind w:left="0" w:firstLine="709"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 w:themeColor="text1"/>
          <w:kern w:val="2"/>
          <w:sz w:val="28"/>
          <w:szCs w:val="28"/>
          <w:lang w:val="uk-UA"/>
        </w:rPr>
        <w:t xml:space="preserve">по </w:t>
      </w:r>
      <w:r w:rsidR="00091B55" w:rsidRPr="00091B55">
        <w:rPr>
          <w:color w:val="000000" w:themeColor="text1"/>
          <w:kern w:val="2"/>
          <w:sz w:val="28"/>
          <w:szCs w:val="28"/>
          <w:lang w:val="uk-UA"/>
        </w:rPr>
        <w:t xml:space="preserve">загальному фонду – </w:t>
      </w:r>
      <w:r w:rsidR="000E6C82">
        <w:rPr>
          <w:color w:val="000000" w:themeColor="text1"/>
          <w:kern w:val="2"/>
          <w:sz w:val="28"/>
          <w:szCs w:val="28"/>
          <w:lang w:val="uk-UA"/>
        </w:rPr>
        <w:t>76 230,7</w:t>
      </w:r>
      <w:r w:rsidR="00091B55">
        <w:rPr>
          <w:color w:val="000000" w:themeColor="text1"/>
          <w:kern w:val="2"/>
          <w:sz w:val="28"/>
          <w:szCs w:val="28"/>
          <w:lang w:val="uk-UA"/>
        </w:rPr>
        <w:t xml:space="preserve"> тис. грн. або </w:t>
      </w:r>
      <w:r w:rsidR="00091B55" w:rsidRPr="00091B55">
        <w:rPr>
          <w:color w:val="000000" w:themeColor="text1"/>
          <w:kern w:val="2"/>
          <w:sz w:val="28"/>
          <w:szCs w:val="28"/>
          <w:lang w:val="uk-UA"/>
        </w:rPr>
        <w:t xml:space="preserve"> </w:t>
      </w:r>
      <w:r w:rsidR="00091B55">
        <w:rPr>
          <w:color w:val="000000" w:themeColor="text1"/>
          <w:kern w:val="2"/>
          <w:sz w:val="28"/>
          <w:szCs w:val="28"/>
          <w:lang w:val="uk-UA"/>
        </w:rPr>
        <w:t>9</w:t>
      </w:r>
      <w:r w:rsidR="000E6C82">
        <w:rPr>
          <w:color w:val="000000" w:themeColor="text1"/>
          <w:kern w:val="2"/>
          <w:sz w:val="28"/>
          <w:szCs w:val="28"/>
          <w:lang w:val="uk-UA"/>
        </w:rPr>
        <w:t>5,6</w:t>
      </w:r>
      <w:r w:rsidR="00091B55" w:rsidRPr="00091B55">
        <w:rPr>
          <w:color w:val="000000" w:themeColor="text1"/>
          <w:kern w:val="2"/>
          <w:sz w:val="28"/>
          <w:szCs w:val="28"/>
          <w:lang w:val="uk-UA"/>
        </w:rPr>
        <w:t xml:space="preserve">% до </w:t>
      </w:r>
      <w:r w:rsidR="00091B55">
        <w:rPr>
          <w:color w:val="000000" w:themeColor="text1"/>
          <w:kern w:val="2"/>
          <w:sz w:val="28"/>
          <w:szCs w:val="28"/>
          <w:lang w:val="uk-UA"/>
        </w:rPr>
        <w:t>планових показників</w:t>
      </w:r>
      <w:r w:rsidR="003177DB">
        <w:rPr>
          <w:color w:val="000000" w:themeColor="text1"/>
          <w:kern w:val="2"/>
          <w:sz w:val="28"/>
          <w:szCs w:val="28"/>
          <w:lang w:val="uk-UA"/>
        </w:rPr>
        <w:t>, в тому числі</w:t>
      </w:r>
      <w:r w:rsidR="00091B55" w:rsidRPr="001514F2">
        <w:rPr>
          <w:color w:val="000000"/>
          <w:kern w:val="2"/>
          <w:sz w:val="28"/>
          <w:szCs w:val="28"/>
          <w:lang w:val="uk-UA"/>
        </w:rPr>
        <w:t xml:space="preserve"> </w:t>
      </w:r>
      <w:r w:rsidR="003177DB">
        <w:rPr>
          <w:color w:val="000000"/>
          <w:kern w:val="2"/>
          <w:sz w:val="28"/>
          <w:szCs w:val="28"/>
          <w:lang w:val="uk-UA"/>
        </w:rPr>
        <w:t>власні</w:t>
      </w:r>
      <w:r w:rsidR="00E24851">
        <w:rPr>
          <w:color w:val="000000"/>
          <w:kern w:val="2"/>
          <w:sz w:val="28"/>
          <w:szCs w:val="28"/>
          <w:lang w:val="uk-UA"/>
        </w:rPr>
        <w:t xml:space="preserve"> </w:t>
      </w:r>
      <w:r w:rsidR="00E24851" w:rsidRPr="001514F2">
        <w:rPr>
          <w:color w:val="000000"/>
          <w:kern w:val="2"/>
          <w:sz w:val="28"/>
          <w:szCs w:val="28"/>
          <w:lang w:val="uk-UA"/>
        </w:rPr>
        <w:t>кошти</w:t>
      </w:r>
      <w:r w:rsidR="003177DB">
        <w:rPr>
          <w:color w:val="000000"/>
          <w:kern w:val="2"/>
          <w:sz w:val="28"/>
          <w:szCs w:val="28"/>
          <w:lang w:val="uk-UA"/>
        </w:rPr>
        <w:t xml:space="preserve"> </w:t>
      </w:r>
      <w:r w:rsidR="00091B55" w:rsidRPr="001514F2">
        <w:rPr>
          <w:color w:val="000000"/>
          <w:kern w:val="2"/>
          <w:sz w:val="28"/>
          <w:szCs w:val="28"/>
          <w:lang w:val="uk-UA"/>
        </w:rPr>
        <w:t xml:space="preserve">бюджету </w:t>
      </w:r>
      <w:r w:rsidR="00FD56F6">
        <w:rPr>
          <w:color w:val="000000"/>
          <w:kern w:val="2"/>
          <w:sz w:val="28"/>
          <w:szCs w:val="28"/>
          <w:lang w:val="uk-UA"/>
        </w:rPr>
        <w:t>селищної територіальної громади</w:t>
      </w:r>
      <w:r w:rsidR="00091B55" w:rsidRPr="001514F2">
        <w:rPr>
          <w:color w:val="000000"/>
          <w:kern w:val="2"/>
          <w:sz w:val="28"/>
          <w:szCs w:val="28"/>
          <w:lang w:val="uk-UA"/>
        </w:rPr>
        <w:t xml:space="preserve">– </w:t>
      </w:r>
      <w:r w:rsidR="001A663C">
        <w:rPr>
          <w:color w:val="000000"/>
          <w:kern w:val="2"/>
          <w:sz w:val="28"/>
          <w:szCs w:val="28"/>
          <w:lang w:val="uk-UA"/>
        </w:rPr>
        <w:t>38 935,9</w:t>
      </w:r>
      <w:r w:rsidR="00E24851">
        <w:rPr>
          <w:color w:val="000000"/>
          <w:kern w:val="2"/>
          <w:sz w:val="28"/>
          <w:szCs w:val="28"/>
          <w:lang w:val="uk-UA"/>
        </w:rPr>
        <w:t xml:space="preserve"> тис. грн., кошти субвенцій та дотації – </w:t>
      </w:r>
      <w:r w:rsidR="001A663C">
        <w:rPr>
          <w:color w:val="000000"/>
          <w:kern w:val="2"/>
          <w:sz w:val="28"/>
          <w:szCs w:val="28"/>
          <w:lang w:val="uk-UA"/>
        </w:rPr>
        <w:t>37 294,8</w:t>
      </w:r>
      <w:r w:rsidR="00E24851">
        <w:rPr>
          <w:color w:val="000000"/>
          <w:kern w:val="2"/>
          <w:sz w:val="28"/>
          <w:szCs w:val="28"/>
          <w:lang w:val="uk-UA"/>
        </w:rPr>
        <w:t xml:space="preserve"> тис. грн.</w:t>
      </w:r>
      <w:r w:rsidR="00FD56F6">
        <w:rPr>
          <w:color w:val="000000"/>
          <w:kern w:val="2"/>
          <w:sz w:val="28"/>
          <w:szCs w:val="28"/>
          <w:lang w:val="uk-UA"/>
        </w:rPr>
        <w:t xml:space="preserve"> Р</w:t>
      </w:r>
      <w:r w:rsidR="00E24851">
        <w:rPr>
          <w:color w:val="000000"/>
          <w:kern w:val="2"/>
          <w:sz w:val="28"/>
          <w:szCs w:val="28"/>
          <w:lang w:val="uk-UA"/>
        </w:rPr>
        <w:t xml:space="preserve">іст </w:t>
      </w:r>
      <w:r w:rsidR="00FD56F6">
        <w:rPr>
          <w:color w:val="000000"/>
          <w:kern w:val="2"/>
          <w:sz w:val="28"/>
          <w:szCs w:val="28"/>
          <w:lang w:val="uk-UA"/>
        </w:rPr>
        <w:t xml:space="preserve">видатків </w:t>
      </w:r>
      <w:r w:rsidR="00E24851">
        <w:rPr>
          <w:color w:val="000000"/>
          <w:kern w:val="2"/>
          <w:sz w:val="28"/>
          <w:szCs w:val="28"/>
          <w:lang w:val="uk-UA"/>
        </w:rPr>
        <w:t xml:space="preserve">до </w:t>
      </w:r>
      <w:r w:rsidR="00FD56F6">
        <w:rPr>
          <w:color w:val="000000"/>
          <w:kern w:val="2"/>
          <w:sz w:val="28"/>
          <w:szCs w:val="28"/>
          <w:lang w:val="uk-UA"/>
        </w:rPr>
        <w:t xml:space="preserve">витрат </w:t>
      </w:r>
      <w:r w:rsidR="00E24851">
        <w:rPr>
          <w:color w:val="000000"/>
          <w:kern w:val="2"/>
          <w:sz w:val="28"/>
          <w:szCs w:val="28"/>
          <w:lang w:val="uk-UA"/>
        </w:rPr>
        <w:t xml:space="preserve">1 </w:t>
      </w:r>
      <w:r w:rsidR="000E6C82">
        <w:rPr>
          <w:color w:val="000000"/>
          <w:kern w:val="2"/>
          <w:sz w:val="28"/>
          <w:szCs w:val="28"/>
          <w:lang w:val="uk-UA"/>
        </w:rPr>
        <w:t>півріччя</w:t>
      </w:r>
      <w:r w:rsidR="00E24851">
        <w:rPr>
          <w:color w:val="000000"/>
          <w:kern w:val="2"/>
          <w:sz w:val="28"/>
          <w:szCs w:val="28"/>
          <w:lang w:val="uk-UA"/>
        </w:rPr>
        <w:t xml:space="preserve"> 2023 рок</w:t>
      </w:r>
      <w:r w:rsidR="0087643D">
        <w:rPr>
          <w:color w:val="000000"/>
          <w:kern w:val="2"/>
          <w:sz w:val="28"/>
          <w:szCs w:val="28"/>
          <w:lang w:val="uk-UA"/>
        </w:rPr>
        <w:t>у</w:t>
      </w:r>
      <w:r w:rsidR="00E24851">
        <w:rPr>
          <w:color w:val="000000"/>
          <w:kern w:val="2"/>
          <w:sz w:val="28"/>
          <w:szCs w:val="28"/>
          <w:lang w:val="uk-UA"/>
        </w:rPr>
        <w:t xml:space="preserve"> </w:t>
      </w:r>
      <w:r>
        <w:rPr>
          <w:color w:val="000000"/>
          <w:kern w:val="2"/>
          <w:sz w:val="28"/>
          <w:szCs w:val="28"/>
          <w:lang w:val="uk-UA"/>
        </w:rPr>
        <w:t xml:space="preserve">складає </w:t>
      </w:r>
      <w:r w:rsidR="000E6C82">
        <w:rPr>
          <w:color w:val="000000"/>
          <w:kern w:val="2"/>
          <w:sz w:val="28"/>
          <w:szCs w:val="28"/>
          <w:lang w:val="uk-UA"/>
        </w:rPr>
        <w:t>16,3</w:t>
      </w:r>
      <w:r>
        <w:rPr>
          <w:color w:val="000000"/>
          <w:kern w:val="2"/>
          <w:sz w:val="28"/>
          <w:szCs w:val="28"/>
          <w:lang w:val="uk-UA"/>
        </w:rPr>
        <w:t>% або</w:t>
      </w:r>
      <w:r w:rsidR="00FD56F6">
        <w:rPr>
          <w:color w:val="000000"/>
          <w:kern w:val="2"/>
          <w:sz w:val="28"/>
          <w:szCs w:val="28"/>
          <w:lang w:val="uk-UA"/>
        </w:rPr>
        <w:t xml:space="preserve"> використано </w:t>
      </w:r>
      <w:r>
        <w:rPr>
          <w:color w:val="000000"/>
          <w:kern w:val="2"/>
          <w:sz w:val="28"/>
          <w:szCs w:val="28"/>
          <w:lang w:val="uk-UA"/>
        </w:rPr>
        <w:t xml:space="preserve">більше на  </w:t>
      </w:r>
      <w:r w:rsidR="000E6C82">
        <w:rPr>
          <w:color w:val="000000"/>
          <w:kern w:val="2"/>
          <w:sz w:val="28"/>
          <w:szCs w:val="28"/>
          <w:lang w:val="uk-UA"/>
        </w:rPr>
        <w:t>10 662,0</w:t>
      </w:r>
      <w:r>
        <w:rPr>
          <w:color w:val="000000"/>
          <w:kern w:val="2"/>
          <w:sz w:val="28"/>
          <w:szCs w:val="28"/>
          <w:lang w:val="uk-UA"/>
        </w:rPr>
        <w:t xml:space="preserve"> тис. грн.</w:t>
      </w:r>
      <w:r w:rsidR="005F38FA">
        <w:rPr>
          <w:color w:val="000000"/>
          <w:kern w:val="2"/>
          <w:sz w:val="28"/>
          <w:szCs w:val="28"/>
          <w:lang w:val="uk-UA"/>
        </w:rPr>
        <w:t xml:space="preserve"> У загальному обсязі видатків загального фонду витрати на галузь «Освіта» становлять 60,6%</w:t>
      </w:r>
      <w:r w:rsidR="00E24851">
        <w:rPr>
          <w:color w:val="000000"/>
          <w:kern w:val="2"/>
          <w:sz w:val="28"/>
          <w:szCs w:val="28"/>
          <w:lang w:val="uk-UA"/>
        </w:rPr>
        <w:t>;</w:t>
      </w:r>
    </w:p>
    <w:p w:rsidR="00091B55" w:rsidRDefault="00C948F9" w:rsidP="00091B55">
      <w:pPr>
        <w:pStyle w:val="af5"/>
        <w:widowControl w:val="0"/>
        <w:tabs>
          <w:tab w:val="left" w:pos="709"/>
          <w:tab w:val="left" w:pos="1080"/>
          <w:tab w:val="num" w:pos="1134"/>
          <w:tab w:val="left" w:pos="1560"/>
          <w:tab w:val="num" w:pos="3025"/>
        </w:tabs>
        <w:spacing w:after="0"/>
        <w:ind w:left="0" w:firstLine="709"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 xml:space="preserve">по </w:t>
      </w:r>
      <w:r w:rsidR="00091B55" w:rsidRPr="001514F2">
        <w:rPr>
          <w:color w:val="000000"/>
          <w:kern w:val="2"/>
          <w:sz w:val="28"/>
          <w:szCs w:val="28"/>
          <w:lang w:val="uk-UA"/>
        </w:rPr>
        <w:t xml:space="preserve">спеціальному фонду – </w:t>
      </w:r>
      <w:r w:rsidR="000E6C82">
        <w:rPr>
          <w:color w:val="000000"/>
          <w:kern w:val="2"/>
          <w:sz w:val="28"/>
          <w:szCs w:val="28"/>
          <w:lang w:val="uk-UA"/>
        </w:rPr>
        <w:t>2 741,8</w:t>
      </w:r>
      <w:r w:rsidR="00091B55" w:rsidRPr="001514F2">
        <w:rPr>
          <w:color w:val="000000"/>
          <w:kern w:val="2"/>
          <w:sz w:val="28"/>
          <w:szCs w:val="28"/>
          <w:lang w:val="uk-UA"/>
        </w:rPr>
        <w:t xml:space="preserve"> тис. грн</w:t>
      </w:r>
      <w:r w:rsidR="00E24851">
        <w:rPr>
          <w:color w:val="000000"/>
          <w:kern w:val="2"/>
          <w:sz w:val="28"/>
          <w:szCs w:val="28"/>
          <w:lang w:val="uk-UA"/>
        </w:rPr>
        <w:t xml:space="preserve">. або на </w:t>
      </w:r>
      <w:r w:rsidR="000E6C82">
        <w:rPr>
          <w:color w:val="000000"/>
          <w:kern w:val="2"/>
          <w:sz w:val="28"/>
          <w:szCs w:val="28"/>
          <w:lang w:val="uk-UA"/>
        </w:rPr>
        <w:t>31,7</w:t>
      </w:r>
      <w:r w:rsidR="00E24851">
        <w:rPr>
          <w:color w:val="000000"/>
          <w:kern w:val="2"/>
          <w:sz w:val="28"/>
          <w:szCs w:val="28"/>
          <w:lang w:val="uk-UA"/>
        </w:rPr>
        <w:t>% до плану</w:t>
      </w:r>
      <w:r w:rsidR="000E6C82">
        <w:rPr>
          <w:color w:val="000000"/>
          <w:kern w:val="2"/>
          <w:sz w:val="28"/>
          <w:szCs w:val="28"/>
          <w:lang w:val="uk-UA"/>
        </w:rPr>
        <w:t xml:space="preserve">, що </w:t>
      </w:r>
      <w:r w:rsidR="0087643D">
        <w:rPr>
          <w:color w:val="000000"/>
          <w:kern w:val="2"/>
          <w:sz w:val="28"/>
          <w:szCs w:val="28"/>
          <w:lang w:val="uk-UA"/>
        </w:rPr>
        <w:t xml:space="preserve">на </w:t>
      </w:r>
      <w:r w:rsidR="007C61B3">
        <w:rPr>
          <w:color w:val="000000"/>
          <w:kern w:val="2"/>
          <w:sz w:val="28"/>
          <w:szCs w:val="28"/>
          <w:lang w:val="uk-UA"/>
        </w:rPr>
        <w:t xml:space="preserve">       </w:t>
      </w:r>
      <w:r w:rsidR="000E6C82">
        <w:rPr>
          <w:color w:val="000000"/>
          <w:kern w:val="2"/>
          <w:sz w:val="28"/>
          <w:szCs w:val="28"/>
          <w:lang w:val="uk-UA"/>
        </w:rPr>
        <w:t>2 672,2</w:t>
      </w:r>
      <w:r w:rsidR="0087643D">
        <w:rPr>
          <w:color w:val="000000"/>
          <w:kern w:val="2"/>
          <w:sz w:val="28"/>
          <w:szCs w:val="28"/>
          <w:lang w:val="uk-UA"/>
        </w:rPr>
        <w:t xml:space="preserve"> тис. грн. менше за витрати січня-</w:t>
      </w:r>
      <w:r w:rsidR="000E6C82">
        <w:rPr>
          <w:color w:val="000000"/>
          <w:kern w:val="2"/>
          <w:sz w:val="28"/>
          <w:szCs w:val="28"/>
          <w:lang w:val="uk-UA"/>
        </w:rPr>
        <w:t>червня</w:t>
      </w:r>
      <w:r w:rsidR="0087643D">
        <w:rPr>
          <w:color w:val="000000"/>
          <w:kern w:val="2"/>
          <w:sz w:val="28"/>
          <w:szCs w:val="28"/>
          <w:lang w:val="uk-UA"/>
        </w:rPr>
        <w:t xml:space="preserve"> минулого року (- </w:t>
      </w:r>
      <w:r w:rsidR="000E6C82">
        <w:rPr>
          <w:color w:val="000000"/>
          <w:kern w:val="2"/>
          <w:sz w:val="28"/>
          <w:szCs w:val="28"/>
          <w:lang w:val="uk-UA"/>
        </w:rPr>
        <w:t>49,4</w:t>
      </w:r>
      <w:r w:rsidR="0087643D">
        <w:rPr>
          <w:color w:val="000000"/>
          <w:kern w:val="2"/>
          <w:sz w:val="28"/>
          <w:szCs w:val="28"/>
          <w:lang w:val="uk-UA"/>
        </w:rPr>
        <w:t>%).</w:t>
      </w:r>
    </w:p>
    <w:p w:rsidR="004213C0" w:rsidRDefault="002007BF" w:rsidP="004213C0">
      <w:pPr>
        <w:ind w:firstLine="708"/>
        <w:jc w:val="both"/>
      </w:pPr>
      <w:r w:rsidRPr="002007BF">
        <w:t xml:space="preserve">З державного бюджету отримано </w:t>
      </w:r>
      <w:r w:rsidR="001A663C">
        <w:t>36 858,5</w:t>
      </w:r>
      <w:r w:rsidRPr="002007BF">
        <w:t xml:space="preserve"> тис. грн. освітньої субвенції, яка освоєна на </w:t>
      </w:r>
      <w:r>
        <w:t>9</w:t>
      </w:r>
      <w:r w:rsidR="001A663C">
        <w:t>7,5</w:t>
      </w:r>
      <w:r w:rsidRPr="002007BF">
        <w:t xml:space="preserve">% від плану в сумі </w:t>
      </w:r>
      <w:r w:rsidR="001A663C">
        <w:t>35 939,2</w:t>
      </w:r>
      <w:r w:rsidRPr="002007BF">
        <w:t xml:space="preserve">  тис. грн. для виплати заробітної </w:t>
      </w:r>
      <w:r w:rsidR="001A663C">
        <w:t xml:space="preserve">плати педагогічних працівників. </w:t>
      </w:r>
      <w:r w:rsidRPr="002007BF">
        <w:t xml:space="preserve">Субвенція з місцевого бюджету на здійснення </w:t>
      </w:r>
      <w:r w:rsidRPr="002007BF">
        <w:lastRenderedPageBreak/>
        <w:t xml:space="preserve">переданих видатків у сфері освіти за рахунок коштів освітньої субвенції при планових показниках </w:t>
      </w:r>
      <w:r w:rsidR="002E0A71">
        <w:t>1 233,4</w:t>
      </w:r>
      <w:r w:rsidRPr="002007BF">
        <w:t xml:space="preserve"> тис. грн. використана в сумі </w:t>
      </w:r>
      <w:r w:rsidR="002E0A71">
        <w:t>945,3</w:t>
      </w:r>
      <w:r w:rsidRPr="002007BF">
        <w:t xml:space="preserve"> тис. грн. </w:t>
      </w:r>
      <w:r w:rsidR="00FD56F6">
        <w:t xml:space="preserve">або </w:t>
      </w:r>
      <w:r>
        <w:t>на 7</w:t>
      </w:r>
      <w:r w:rsidR="002E0A71">
        <w:t>6,6</w:t>
      </w:r>
      <w:r w:rsidRPr="002007BF">
        <w:t>% до планових асигнувань, яка була направлена на виплату заробітної плати педагогічних працівників комунальної установи «</w:t>
      </w:r>
      <w:proofErr w:type="spellStart"/>
      <w:r w:rsidRPr="002007BF">
        <w:t>Інклюзивно</w:t>
      </w:r>
      <w:proofErr w:type="spellEnd"/>
      <w:r w:rsidRPr="002007BF">
        <w:t>-ресурсний центр» Диканської селищної ради</w:t>
      </w:r>
      <w:r w:rsidR="002E0A71">
        <w:t xml:space="preserve">. </w:t>
      </w:r>
      <w:r w:rsidR="004213C0">
        <w:t>Кошти іншої дотація з місцевого бюджету</w:t>
      </w:r>
      <w:r w:rsidR="004213C0" w:rsidRPr="006B4D5D">
        <w:t xml:space="preserve"> </w:t>
      </w:r>
      <w:r w:rsidR="004213C0">
        <w:t xml:space="preserve">стовідсотково до плану  в сумі </w:t>
      </w:r>
      <w:r w:rsidR="002E0A71">
        <w:t>117,9</w:t>
      </w:r>
      <w:r w:rsidR="004213C0">
        <w:t xml:space="preserve"> тис. грн. використані н</w:t>
      </w:r>
      <w:r w:rsidR="004213C0">
        <w:rPr>
          <w:rFonts w:cs="Tahoma"/>
        </w:rPr>
        <w:t>а</w:t>
      </w:r>
      <w:r w:rsidR="004213C0" w:rsidRPr="007C313E">
        <w:t xml:space="preserve"> оплату комунальних послуг, що надаються під час розміщення в умовах воєнного  ст</w:t>
      </w:r>
      <w:r w:rsidR="004213C0">
        <w:t xml:space="preserve">ану внутрішньо переміщених осіб, в тому числі закладам дошкільної освіти – </w:t>
      </w:r>
      <w:r w:rsidR="002E0A71">
        <w:t>19,6</w:t>
      </w:r>
      <w:r w:rsidR="004213C0">
        <w:t xml:space="preserve"> тис. грн., закладам загальної середньої освіти  - </w:t>
      </w:r>
      <w:r w:rsidR="002E0A71">
        <w:t>98,3</w:t>
      </w:r>
      <w:r w:rsidR="004213C0">
        <w:t xml:space="preserve"> тис. грн.</w:t>
      </w:r>
      <w:r w:rsidR="002E0A71">
        <w:t xml:space="preserve"> </w:t>
      </w:r>
      <w:r w:rsidR="002E0A71" w:rsidRPr="002E0A71">
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</w:r>
      <w:r w:rsidR="002E0A71">
        <w:t xml:space="preserve"> в сумі 29</w:t>
      </w:r>
      <w:r w:rsidR="00C02E1E">
        <w:t>2</w:t>
      </w:r>
      <w:r w:rsidR="002E0A71">
        <w:t>,</w:t>
      </w:r>
      <w:r w:rsidR="00C02E1E">
        <w:t>4</w:t>
      </w:r>
      <w:r w:rsidR="002E0A71">
        <w:t xml:space="preserve"> тис. грн. освоєна на виплату заробітної плати</w:t>
      </w:r>
      <w:r w:rsidR="00C02E1E">
        <w:t xml:space="preserve"> працівників закладів загальної середньої освіти громади. </w:t>
      </w:r>
    </w:p>
    <w:p w:rsidR="0087643D" w:rsidRPr="001514F2" w:rsidRDefault="0087643D" w:rsidP="002007BF">
      <w:pPr>
        <w:widowControl w:val="0"/>
        <w:tabs>
          <w:tab w:val="left" w:pos="709"/>
        </w:tabs>
        <w:jc w:val="both"/>
        <w:rPr>
          <w:kern w:val="2"/>
        </w:rPr>
      </w:pPr>
      <w:r>
        <w:rPr>
          <w:kern w:val="2"/>
        </w:rPr>
        <w:tab/>
      </w:r>
      <w:r w:rsidRPr="001514F2">
        <w:rPr>
          <w:kern w:val="2"/>
        </w:rPr>
        <w:t xml:space="preserve">У загальній сумі враховані видатки на виконання </w:t>
      </w:r>
      <w:r w:rsidRPr="001514F2">
        <w:t>цільов</w:t>
      </w:r>
      <w:r>
        <w:t>ої (комплексної</w:t>
      </w:r>
      <w:r w:rsidRPr="001514F2">
        <w:t>)</w:t>
      </w:r>
      <w:r w:rsidRPr="001514F2">
        <w:rPr>
          <w:kern w:val="2"/>
        </w:rPr>
        <w:t xml:space="preserve"> програм</w:t>
      </w:r>
      <w:r>
        <w:rPr>
          <w:kern w:val="2"/>
        </w:rPr>
        <w:t xml:space="preserve">и - </w:t>
      </w:r>
      <w:r w:rsidRPr="0087643D">
        <w:rPr>
          <w:kern w:val="2"/>
        </w:rPr>
        <w:t>Програма організації одноразового безоплатного харчування учнів пільгових категорій 1-11 класів загальноосвітніх навчальних закладів Диканської селищної ради на 2022 - 2024 рок</w:t>
      </w:r>
      <w:r>
        <w:rPr>
          <w:kern w:val="2"/>
        </w:rPr>
        <w:t xml:space="preserve">и в сумі </w:t>
      </w:r>
      <w:r w:rsidR="00C02E1E">
        <w:rPr>
          <w:kern w:val="2"/>
        </w:rPr>
        <w:t>761,1 тис. грн. або на 72,7</w:t>
      </w:r>
      <w:r>
        <w:rPr>
          <w:kern w:val="2"/>
        </w:rPr>
        <w:t>% до пла</w:t>
      </w:r>
      <w:r w:rsidR="00871097">
        <w:rPr>
          <w:kern w:val="2"/>
        </w:rPr>
        <w:t>ну на звітний період.</w:t>
      </w:r>
    </w:p>
    <w:p w:rsidR="00860071" w:rsidRPr="008660AA" w:rsidRDefault="00860071" w:rsidP="00504527">
      <w:pPr>
        <w:ind w:firstLine="708"/>
        <w:jc w:val="both"/>
      </w:pPr>
    </w:p>
    <w:p w:rsidR="00B009B6" w:rsidRPr="003A119D" w:rsidRDefault="00B009B6" w:rsidP="00764EFE">
      <w:pPr>
        <w:jc w:val="center"/>
        <w:rPr>
          <w:b/>
        </w:rPr>
      </w:pPr>
      <w:r w:rsidRPr="003A119D">
        <w:rPr>
          <w:b/>
        </w:rPr>
        <w:t>Охорона здоров’я</w:t>
      </w:r>
    </w:p>
    <w:p w:rsidR="00B009B6" w:rsidRPr="003A119D" w:rsidRDefault="00B009B6" w:rsidP="00B009B6">
      <w:pPr>
        <w:ind w:firstLine="708"/>
        <w:jc w:val="center"/>
        <w:rPr>
          <w:b/>
        </w:rPr>
      </w:pPr>
    </w:p>
    <w:p w:rsidR="00A8489D" w:rsidRDefault="00A8489D" w:rsidP="00A8489D">
      <w:pPr>
        <w:tabs>
          <w:tab w:val="left" w:pos="1134"/>
        </w:tabs>
        <w:ind w:firstLine="709"/>
        <w:jc w:val="both"/>
        <w:rPr>
          <w:kern w:val="2"/>
        </w:rPr>
      </w:pPr>
      <w:r>
        <w:t>Видатки н</w:t>
      </w:r>
      <w:r w:rsidR="00B009B6" w:rsidRPr="005160DD">
        <w:t xml:space="preserve">а галузь «Охорона здоров’я» </w:t>
      </w:r>
      <w:r w:rsidRPr="001514F2">
        <w:rPr>
          <w:kern w:val="2"/>
        </w:rPr>
        <w:t xml:space="preserve">склали </w:t>
      </w:r>
      <w:r w:rsidR="008C31E8">
        <w:rPr>
          <w:b/>
          <w:kern w:val="2"/>
        </w:rPr>
        <w:t>5 804,8</w:t>
      </w:r>
      <w:r w:rsidRPr="00FB0E5A">
        <w:rPr>
          <w:b/>
          <w:kern w:val="2"/>
        </w:rPr>
        <w:t xml:space="preserve"> тис. грн.</w:t>
      </w:r>
      <w:r w:rsidRPr="001514F2">
        <w:rPr>
          <w:kern w:val="2"/>
        </w:rPr>
        <w:t xml:space="preserve"> по загальному фонду, що становить </w:t>
      </w:r>
      <w:r w:rsidR="008C31E8">
        <w:rPr>
          <w:kern w:val="2"/>
        </w:rPr>
        <w:t>65,4</w:t>
      </w:r>
      <w:r w:rsidRPr="001514F2">
        <w:rPr>
          <w:kern w:val="2"/>
        </w:rPr>
        <w:t xml:space="preserve">% до затверджених бюджетних призначень </w:t>
      </w:r>
      <w:r>
        <w:rPr>
          <w:kern w:val="2"/>
        </w:rPr>
        <w:t xml:space="preserve">та менше видатків за 1 </w:t>
      </w:r>
      <w:r w:rsidR="008C31E8">
        <w:rPr>
          <w:kern w:val="2"/>
        </w:rPr>
        <w:t>півріччя</w:t>
      </w:r>
      <w:r>
        <w:rPr>
          <w:kern w:val="2"/>
        </w:rPr>
        <w:t xml:space="preserve"> 2023 року на </w:t>
      </w:r>
      <w:r w:rsidR="008C31E8">
        <w:rPr>
          <w:kern w:val="2"/>
        </w:rPr>
        <w:t>2 336,0 тис. грн. (-28</w:t>
      </w:r>
      <w:r>
        <w:rPr>
          <w:kern w:val="2"/>
        </w:rPr>
        <w:t>,</w:t>
      </w:r>
      <w:r w:rsidR="008C31E8">
        <w:rPr>
          <w:kern w:val="2"/>
        </w:rPr>
        <w:t>7</w:t>
      </w:r>
      <w:r>
        <w:rPr>
          <w:kern w:val="2"/>
        </w:rPr>
        <w:t xml:space="preserve">%), </w:t>
      </w:r>
      <w:r w:rsidR="005F38FA">
        <w:rPr>
          <w:kern w:val="2"/>
        </w:rPr>
        <w:t xml:space="preserve">в тому числі освоєні </w:t>
      </w:r>
      <w:r>
        <w:rPr>
          <w:kern w:val="2"/>
        </w:rPr>
        <w:t xml:space="preserve"> кошти дотації </w:t>
      </w:r>
      <w:r w:rsidR="005F38FA">
        <w:rPr>
          <w:kern w:val="2"/>
        </w:rPr>
        <w:t xml:space="preserve">в сумі </w:t>
      </w:r>
      <w:r w:rsidR="008C31E8">
        <w:rPr>
          <w:kern w:val="2"/>
        </w:rPr>
        <w:t>584,8</w:t>
      </w:r>
      <w:r>
        <w:rPr>
          <w:kern w:val="2"/>
        </w:rPr>
        <w:t xml:space="preserve"> тис. грн. </w:t>
      </w:r>
      <w:r w:rsidR="005F38FA">
        <w:rPr>
          <w:kern w:val="2"/>
        </w:rPr>
        <w:t>Видатки спрямовані</w:t>
      </w:r>
      <w:r>
        <w:rPr>
          <w:kern w:val="2"/>
        </w:rPr>
        <w:t>:</w:t>
      </w:r>
    </w:p>
    <w:p w:rsidR="00AE2999" w:rsidRDefault="00A8489D" w:rsidP="00B009B6">
      <w:pPr>
        <w:ind w:firstLine="708"/>
        <w:jc w:val="both"/>
        <w:rPr>
          <w:szCs w:val="16"/>
        </w:rPr>
      </w:pPr>
      <w:r>
        <w:t>н</w:t>
      </w:r>
      <w:r w:rsidR="00B009B6" w:rsidRPr="005160DD">
        <w:t xml:space="preserve">а </w:t>
      </w:r>
      <w:r w:rsidR="00B009B6">
        <w:t>П</w:t>
      </w:r>
      <w:r w:rsidR="00B009B6" w:rsidRPr="005160DD">
        <w:t xml:space="preserve">рограму </w:t>
      </w:r>
      <w:r w:rsidR="00B009B6" w:rsidRPr="005160DD">
        <w:rPr>
          <w:szCs w:val="16"/>
        </w:rPr>
        <w:t xml:space="preserve">фінансової підтримки комунального некомерційного підприємства </w:t>
      </w:r>
      <w:r w:rsidR="005D7D6E">
        <w:rPr>
          <w:szCs w:val="16"/>
        </w:rPr>
        <w:t>«</w:t>
      </w:r>
      <w:r w:rsidR="00B009B6" w:rsidRPr="005160DD">
        <w:rPr>
          <w:szCs w:val="16"/>
        </w:rPr>
        <w:t>Диканс</w:t>
      </w:r>
      <w:r w:rsidR="005D7D6E">
        <w:rPr>
          <w:szCs w:val="16"/>
        </w:rPr>
        <w:t>ька лікарня планового лікування»</w:t>
      </w:r>
      <w:r w:rsidR="00B009B6" w:rsidRPr="005160DD">
        <w:rPr>
          <w:szCs w:val="16"/>
        </w:rPr>
        <w:t xml:space="preserve"> </w:t>
      </w:r>
      <w:r w:rsidR="005F38FA">
        <w:rPr>
          <w:szCs w:val="16"/>
        </w:rPr>
        <w:t xml:space="preserve"> - </w:t>
      </w:r>
      <w:r w:rsidR="00B009B6">
        <w:rPr>
          <w:szCs w:val="16"/>
        </w:rPr>
        <w:t xml:space="preserve">за звітний </w:t>
      </w:r>
      <w:r w:rsidR="00B159DD">
        <w:rPr>
          <w:szCs w:val="16"/>
          <w:lang w:val="ru-RU"/>
        </w:rPr>
        <w:t>пер</w:t>
      </w:r>
      <w:proofErr w:type="spellStart"/>
      <w:r w:rsidR="00B159DD">
        <w:rPr>
          <w:szCs w:val="16"/>
        </w:rPr>
        <w:t>іод</w:t>
      </w:r>
      <w:proofErr w:type="spellEnd"/>
      <w:r w:rsidR="004768CA">
        <w:rPr>
          <w:szCs w:val="16"/>
        </w:rPr>
        <w:t xml:space="preserve"> </w:t>
      </w:r>
      <w:r w:rsidR="00B009B6" w:rsidRPr="005160DD">
        <w:rPr>
          <w:szCs w:val="16"/>
        </w:rPr>
        <w:t xml:space="preserve">направлено </w:t>
      </w:r>
      <w:r w:rsidR="007E573B">
        <w:rPr>
          <w:szCs w:val="16"/>
        </w:rPr>
        <w:t xml:space="preserve">3 689,8 </w:t>
      </w:r>
      <w:r w:rsidR="00B009B6" w:rsidRPr="005160DD">
        <w:rPr>
          <w:szCs w:val="16"/>
        </w:rPr>
        <w:t>тис.</w:t>
      </w:r>
      <w:r>
        <w:rPr>
          <w:szCs w:val="16"/>
        </w:rPr>
        <w:t xml:space="preserve"> грн. (</w:t>
      </w:r>
      <w:r w:rsidR="007E573B">
        <w:rPr>
          <w:szCs w:val="16"/>
        </w:rPr>
        <w:t>5</w:t>
      </w:r>
      <w:r>
        <w:rPr>
          <w:szCs w:val="16"/>
        </w:rPr>
        <w:t>8,1</w:t>
      </w:r>
      <w:r w:rsidR="00B009B6">
        <w:rPr>
          <w:szCs w:val="16"/>
        </w:rPr>
        <w:t>% до плану</w:t>
      </w:r>
      <w:r w:rsidR="00B009B6" w:rsidRPr="00BB58D2">
        <w:rPr>
          <w:szCs w:val="16"/>
        </w:rPr>
        <w:t xml:space="preserve">), що </w:t>
      </w:r>
      <w:r w:rsidR="00FB0E5A">
        <w:rPr>
          <w:szCs w:val="16"/>
        </w:rPr>
        <w:t>мен</w:t>
      </w:r>
      <w:r w:rsidR="00274E97" w:rsidRPr="00BB58D2">
        <w:rPr>
          <w:szCs w:val="16"/>
        </w:rPr>
        <w:t>ше</w:t>
      </w:r>
      <w:r w:rsidR="00274E97">
        <w:rPr>
          <w:szCs w:val="16"/>
        </w:rPr>
        <w:t xml:space="preserve"> </w:t>
      </w:r>
      <w:r w:rsidR="00B009B6">
        <w:rPr>
          <w:szCs w:val="16"/>
        </w:rPr>
        <w:t xml:space="preserve">на </w:t>
      </w:r>
      <w:r w:rsidR="007E573B">
        <w:rPr>
          <w:szCs w:val="16"/>
        </w:rPr>
        <w:t>2 593,5</w:t>
      </w:r>
      <w:r w:rsidR="00B009B6">
        <w:rPr>
          <w:szCs w:val="16"/>
        </w:rPr>
        <w:t xml:space="preserve"> тис. </w:t>
      </w:r>
      <w:r w:rsidR="00B009B6" w:rsidRPr="005160DD">
        <w:rPr>
          <w:szCs w:val="16"/>
        </w:rPr>
        <w:t>грн.</w:t>
      </w:r>
      <w:r w:rsidR="005F38FA">
        <w:rPr>
          <w:szCs w:val="16"/>
        </w:rPr>
        <w:t xml:space="preserve"> до </w:t>
      </w:r>
      <w:r w:rsidR="00B009B6">
        <w:rPr>
          <w:szCs w:val="16"/>
        </w:rPr>
        <w:t xml:space="preserve"> витрат січня-</w:t>
      </w:r>
      <w:r w:rsidR="007E573B">
        <w:rPr>
          <w:szCs w:val="16"/>
        </w:rPr>
        <w:t>червня</w:t>
      </w:r>
      <w:r w:rsidR="00274E97">
        <w:rPr>
          <w:szCs w:val="16"/>
        </w:rPr>
        <w:t xml:space="preserve"> </w:t>
      </w:r>
      <w:r w:rsidR="002F359F">
        <w:rPr>
          <w:szCs w:val="16"/>
        </w:rPr>
        <w:t>2</w:t>
      </w:r>
      <w:r w:rsidR="00B009B6">
        <w:rPr>
          <w:szCs w:val="16"/>
        </w:rPr>
        <w:t>02</w:t>
      </w:r>
      <w:r w:rsidR="00FB0E5A">
        <w:rPr>
          <w:szCs w:val="16"/>
        </w:rPr>
        <w:t>3</w:t>
      </w:r>
      <w:r w:rsidR="00B009B6">
        <w:rPr>
          <w:szCs w:val="16"/>
        </w:rPr>
        <w:t xml:space="preserve"> року (</w:t>
      </w:r>
      <w:r w:rsidR="00FB0E5A">
        <w:rPr>
          <w:szCs w:val="16"/>
        </w:rPr>
        <w:t>-</w:t>
      </w:r>
      <w:r w:rsidR="007E573B">
        <w:rPr>
          <w:szCs w:val="16"/>
        </w:rPr>
        <w:t>41,3</w:t>
      </w:r>
      <w:r w:rsidR="00FB0E5A">
        <w:rPr>
          <w:szCs w:val="16"/>
        </w:rPr>
        <w:t>%</w:t>
      </w:r>
      <w:r w:rsidR="00B009B6" w:rsidRPr="005160DD">
        <w:rPr>
          <w:szCs w:val="16"/>
        </w:rPr>
        <w:t>).</w:t>
      </w:r>
      <w:r w:rsidR="00FB0E5A">
        <w:rPr>
          <w:szCs w:val="16"/>
        </w:rPr>
        <w:t xml:space="preserve"> Кошти д</w:t>
      </w:r>
      <w:r w:rsidR="005F38FA">
        <w:rPr>
          <w:szCs w:val="16"/>
        </w:rPr>
        <w:t>отації</w:t>
      </w:r>
      <w:r w:rsidR="00FB0E5A" w:rsidRPr="00FB0E5A">
        <w:rPr>
          <w:szCs w:val="16"/>
        </w:rPr>
        <w:t xml:space="preserve"> з місцевого бюджету на здійснення переданих з державного бюджету видатків з утримання закладів охорони здоров`я за рахунок відповідної додаткової дотації з державного бюджету</w:t>
      </w:r>
      <w:r w:rsidR="00B009B6">
        <w:rPr>
          <w:szCs w:val="16"/>
        </w:rPr>
        <w:t xml:space="preserve"> </w:t>
      </w:r>
      <w:r w:rsidR="00FB0E5A">
        <w:rPr>
          <w:szCs w:val="16"/>
        </w:rPr>
        <w:t xml:space="preserve">стовідсотково освоєні на оплату за спожитий природний газ; </w:t>
      </w:r>
    </w:p>
    <w:p w:rsidR="009168AA" w:rsidRDefault="00FB0E5A" w:rsidP="009168AA">
      <w:pPr>
        <w:ind w:firstLine="708"/>
        <w:jc w:val="both"/>
        <w:rPr>
          <w:szCs w:val="16"/>
        </w:rPr>
      </w:pPr>
      <w:r>
        <w:rPr>
          <w:szCs w:val="18"/>
        </w:rPr>
        <w:t>н</w:t>
      </w:r>
      <w:r w:rsidR="00B009B6" w:rsidRPr="005160DD">
        <w:rPr>
          <w:szCs w:val="18"/>
        </w:rPr>
        <w:t xml:space="preserve">а </w:t>
      </w:r>
      <w:r w:rsidR="00B009B6">
        <w:rPr>
          <w:szCs w:val="18"/>
        </w:rPr>
        <w:t>П</w:t>
      </w:r>
      <w:r w:rsidR="00B009B6" w:rsidRPr="005160DD">
        <w:rPr>
          <w:szCs w:val="18"/>
        </w:rPr>
        <w:t>рограму фінансової підтримки комунально</w:t>
      </w:r>
      <w:r w:rsidR="005D7D6E">
        <w:rPr>
          <w:szCs w:val="18"/>
        </w:rPr>
        <w:t>го некомерційного підприємства «</w:t>
      </w:r>
      <w:r w:rsidR="00B009B6" w:rsidRPr="005160DD">
        <w:rPr>
          <w:szCs w:val="18"/>
        </w:rPr>
        <w:t xml:space="preserve">Центр первинної медико-санітарної допомоги Диканської </w:t>
      </w:r>
      <w:r w:rsidR="00B009B6">
        <w:rPr>
          <w:szCs w:val="18"/>
        </w:rPr>
        <w:t>селищної ради</w:t>
      </w:r>
      <w:r w:rsidR="005D7D6E">
        <w:rPr>
          <w:szCs w:val="18"/>
        </w:rPr>
        <w:t>»</w:t>
      </w:r>
      <w:r w:rsidR="000C056E">
        <w:rPr>
          <w:szCs w:val="18"/>
        </w:rPr>
        <w:t xml:space="preserve"> </w:t>
      </w:r>
      <w:r w:rsidR="005F38FA">
        <w:rPr>
          <w:szCs w:val="18"/>
        </w:rPr>
        <w:t xml:space="preserve">- </w:t>
      </w:r>
      <w:r w:rsidR="000C056E">
        <w:rPr>
          <w:szCs w:val="18"/>
        </w:rPr>
        <w:t xml:space="preserve">направлено </w:t>
      </w:r>
      <w:r w:rsidR="007E573B">
        <w:rPr>
          <w:szCs w:val="18"/>
        </w:rPr>
        <w:t>2 115,0</w:t>
      </w:r>
      <w:r w:rsidR="000C056E">
        <w:rPr>
          <w:szCs w:val="18"/>
        </w:rPr>
        <w:t xml:space="preserve"> </w:t>
      </w:r>
      <w:r w:rsidR="00B009B6" w:rsidRPr="005160DD">
        <w:rPr>
          <w:szCs w:val="18"/>
        </w:rPr>
        <w:t>тис. грн.</w:t>
      </w:r>
      <w:r w:rsidR="00B009B6">
        <w:rPr>
          <w:szCs w:val="18"/>
        </w:rPr>
        <w:t xml:space="preserve"> (</w:t>
      </w:r>
      <w:r>
        <w:rPr>
          <w:szCs w:val="18"/>
        </w:rPr>
        <w:t>8</w:t>
      </w:r>
      <w:r w:rsidR="007E573B">
        <w:rPr>
          <w:szCs w:val="18"/>
        </w:rPr>
        <w:t>4</w:t>
      </w:r>
      <w:r>
        <w:rPr>
          <w:szCs w:val="18"/>
        </w:rPr>
        <w:t>,</w:t>
      </w:r>
      <w:r w:rsidR="00B009B6">
        <w:rPr>
          <w:szCs w:val="18"/>
        </w:rPr>
        <w:t xml:space="preserve">% до плану), що на </w:t>
      </w:r>
      <w:r w:rsidR="007E573B">
        <w:rPr>
          <w:szCs w:val="18"/>
        </w:rPr>
        <w:t>257,5</w:t>
      </w:r>
      <w:r w:rsidR="00B009B6">
        <w:rPr>
          <w:szCs w:val="18"/>
        </w:rPr>
        <w:t xml:space="preserve"> тис. грн. </w:t>
      </w:r>
      <w:r w:rsidR="009E00E2">
        <w:rPr>
          <w:szCs w:val="18"/>
        </w:rPr>
        <w:t>більше</w:t>
      </w:r>
      <w:r w:rsidR="000C056E">
        <w:rPr>
          <w:szCs w:val="18"/>
        </w:rPr>
        <w:t xml:space="preserve"> </w:t>
      </w:r>
      <w:r w:rsidR="00B009B6">
        <w:rPr>
          <w:szCs w:val="18"/>
        </w:rPr>
        <w:t xml:space="preserve">ніж </w:t>
      </w:r>
      <w:r w:rsidR="00274E97">
        <w:rPr>
          <w:szCs w:val="18"/>
        </w:rPr>
        <w:t>у</w:t>
      </w:r>
      <w:r w:rsidR="000C056E">
        <w:rPr>
          <w:szCs w:val="18"/>
        </w:rPr>
        <w:t xml:space="preserve"> </w:t>
      </w:r>
      <w:r w:rsidR="00A62905">
        <w:rPr>
          <w:szCs w:val="18"/>
        </w:rPr>
        <w:t>І</w:t>
      </w:r>
      <w:r w:rsidR="000C056E">
        <w:rPr>
          <w:szCs w:val="18"/>
        </w:rPr>
        <w:t xml:space="preserve"> </w:t>
      </w:r>
      <w:r w:rsidR="007E573B">
        <w:rPr>
          <w:szCs w:val="18"/>
        </w:rPr>
        <w:t>півріччі</w:t>
      </w:r>
      <w:r w:rsidR="00B009B6">
        <w:rPr>
          <w:szCs w:val="18"/>
        </w:rPr>
        <w:t xml:space="preserve"> 202</w:t>
      </w:r>
      <w:r>
        <w:rPr>
          <w:szCs w:val="18"/>
        </w:rPr>
        <w:t>3</w:t>
      </w:r>
      <w:r w:rsidR="00B009B6">
        <w:rPr>
          <w:szCs w:val="18"/>
        </w:rPr>
        <w:t xml:space="preserve"> ро</w:t>
      </w:r>
      <w:r w:rsidR="007E573B">
        <w:rPr>
          <w:szCs w:val="18"/>
        </w:rPr>
        <w:t>ку (+13</w:t>
      </w:r>
      <w:r>
        <w:rPr>
          <w:szCs w:val="18"/>
        </w:rPr>
        <w:t>,9</w:t>
      </w:r>
      <w:r w:rsidR="00B009B6">
        <w:rPr>
          <w:szCs w:val="18"/>
        </w:rPr>
        <w:t>%).</w:t>
      </w:r>
      <w:r w:rsidR="009168AA">
        <w:rPr>
          <w:szCs w:val="18"/>
        </w:rPr>
        <w:t xml:space="preserve"> </w:t>
      </w:r>
    </w:p>
    <w:p w:rsidR="005049F9" w:rsidRPr="002007BF" w:rsidRDefault="005049F9" w:rsidP="00B009B6">
      <w:pPr>
        <w:ind w:firstLine="708"/>
        <w:jc w:val="both"/>
        <w:rPr>
          <w:b/>
          <w:szCs w:val="16"/>
        </w:rPr>
      </w:pPr>
      <w:r w:rsidRPr="002007BF">
        <w:rPr>
          <w:b/>
          <w:szCs w:val="16"/>
        </w:rPr>
        <w:t>Питома вага видатків на галузь</w:t>
      </w:r>
      <w:r>
        <w:rPr>
          <w:szCs w:val="16"/>
        </w:rPr>
        <w:t xml:space="preserve"> «Охорона здоров’я» у загальному обсязі касових видатків </w:t>
      </w:r>
      <w:r w:rsidR="00505CE9">
        <w:rPr>
          <w:szCs w:val="16"/>
        </w:rPr>
        <w:t xml:space="preserve">бюджету </w:t>
      </w:r>
      <w:r w:rsidR="009F1EF5" w:rsidRPr="002007BF">
        <w:rPr>
          <w:b/>
          <w:szCs w:val="16"/>
        </w:rPr>
        <w:t xml:space="preserve">становить </w:t>
      </w:r>
      <w:r w:rsidR="00FB0E5A" w:rsidRPr="002007BF">
        <w:rPr>
          <w:b/>
          <w:szCs w:val="16"/>
        </w:rPr>
        <w:t>4,</w:t>
      </w:r>
      <w:r w:rsidR="007E573B">
        <w:rPr>
          <w:b/>
          <w:szCs w:val="16"/>
        </w:rPr>
        <w:t>3</w:t>
      </w:r>
      <w:r w:rsidRPr="002007BF">
        <w:rPr>
          <w:b/>
          <w:szCs w:val="16"/>
        </w:rPr>
        <w:t>%.</w:t>
      </w:r>
    </w:p>
    <w:p w:rsidR="003B4F02" w:rsidRPr="002007BF" w:rsidRDefault="003B4F02" w:rsidP="003B4F02">
      <w:pPr>
        <w:jc w:val="center"/>
        <w:rPr>
          <w:b/>
        </w:rPr>
      </w:pPr>
    </w:p>
    <w:p w:rsidR="00B009B6" w:rsidRPr="003A119D" w:rsidRDefault="00B009B6" w:rsidP="00B009B6">
      <w:pPr>
        <w:ind w:firstLine="708"/>
        <w:jc w:val="center"/>
        <w:rPr>
          <w:b/>
        </w:rPr>
      </w:pPr>
      <w:r w:rsidRPr="003A119D">
        <w:rPr>
          <w:b/>
        </w:rPr>
        <w:t>Соціальний захист та соціальне забезпечення</w:t>
      </w:r>
    </w:p>
    <w:p w:rsidR="00B009B6" w:rsidRPr="005160DD" w:rsidRDefault="00B009B6" w:rsidP="00B009B6">
      <w:pPr>
        <w:ind w:firstLine="708"/>
        <w:jc w:val="center"/>
        <w:rPr>
          <w:b/>
          <w:u w:val="single"/>
        </w:rPr>
      </w:pPr>
    </w:p>
    <w:p w:rsidR="00AC5BF5" w:rsidRDefault="00B009B6" w:rsidP="00B009B6">
      <w:pPr>
        <w:ind w:firstLine="708"/>
        <w:jc w:val="both"/>
      </w:pPr>
      <w:r w:rsidRPr="002007BF">
        <w:rPr>
          <w:b/>
        </w:rPr>
        <w:t xml:space="preserve">Видатки </w:t>
      </w:r>
      <w:r w:rsidRPr="005160DD">
        <w:t>на соціальний захист та соціальне забезпечення</w:t>
      </w:r>
      <w:r w:rsidR="00D86078" w:rsidRPr="00D86078">
        <w:rPr>
          <w:lang w:val="ru-RU"/>
        </w:rPr>
        <w:t xml:space="preserve"> </w:t>
      </w:r>
      <w:r w:rsidR="008676E5" w:rsidRPr="002007BF">
        <w:rPr>
          <w:b/>
        </w:rPr>
        <w:t xml:space="preserve">становлять </w:t>
      </w:r>
      <w:r w:rsidR="00AC5BF5" w:rsidRPr="002007BF">
        <w:rPr>
          <w:b/>
        </w:rPr>
        <w:t>9,</w:t>
      </w:r>
      <w:r w:rsidR="007E573B">
        <w:rPr>
          <w:b/>
        </w:rPr>
        <w:t>8</w:t>
      </w:r>
      <w:r w:rsidR="00D86078" w:rsidRPr="002007BF">
        <w:rPr>
          <w:b/>
        </w:rPr>
        <w:t>%</w:t>
      </w:r>
      <w:r w:rsidR="00D86078">
        <w:t xml:space="preserve"> загального обсягу витрат бюджету громади </w:t>
      </w:r>
      <w:r w:rsidR="00AC5BF5" w:rsidRPr="002007BF">
        <w:rPr>
          <w:b/>
        </w:rPr>
        <w:t>в сумі</w:t>
      </w:r>
      <w:r w:rsidRPr="002007BF">
        <w:rPr>
          <w:b/>
        </w:rPr>
        <w:t xml:space="preserve"> </w:t>
      </w:r>
      <w:r w:rsidR="007E573B">
        <w:rPr>
          <w:b/>
        </w:rPr>
        <w:t>13 253,3</w:t>
      </w:r>
      <w:r w:rsidRPr="002007BF">
        <w:rPr>
          <w:b/>
        </w:rPr>
        <w:t xml:space="preserve"> тис. грн.,</w:t>
      </w:r>
      <w:r w:rsidR="00AC5BF5">
        <w:t xml:space="preserve"> з них:</w:t>
      </w:r>
    </w:p>
    <w:p w:rsidR="00AC5BF5" w:rsidRDefault="00AC5BF5" w:rsidP="00B009B6">
      <w:pPr>
        <w:ind w:firstLine="708"/>
        <w:jc w:val="both"/>
      </w:pPr>
      <w:r>
        <w:lastRenderedPageBreak/>
        <w:t xml:space="preserve">по загальному фонду видатки </w:t>
      </w:r>
      <w:r w:rsidRPr="005160DD">
        <w:t xml:space="preserve">профінансовані на </w:t>
      </w:r>
      <w:r w:rsidR="007E573B">
        <w:t>92,6</w:t>
      </w:r>
      <w:r w:rsidRPr="005160DD">
        <w:t xml:space="preserve"> % до </w:t>
      </w:r>
      <w:r>
        <w:t xml:space="preserve">уточненого плану на звітний період в розмірі  </w:t>
      </w:r>
      <w:r w:rsidR="007E573B">
        <w:t>10 288,1</w:t>
      </w:r>
      <w:r>
        <w:t xml:space="preserve"> тис. грн.,</w:t>
      </w:r>
      <w:r w:rsidR="00B009B6" w:rsidRPr="005160DD">
        <w:t xml:space="preserve"> що на</w:t>
      </w:r>
      <w:r w:rsidR="00B009B6">
        <w:t xml:space="preserve"> </w:t>
      </w:r>
      <w:r w:rsidR="007E573B">
        <w:t>366,0</w:t>
      </w:r>
      <w:r w:rsidR="00B009B6" w:rsidRPr="005160DD">
        <w:t xml:space="preserve"> тис. грн. </w:t>
      </w:r>
      <w:r>
        <w:t>мен</w:t>
      </w:r>
      <w:r w:rsidR="00B009B6" w:rsidRPr="005160DD">
        <w:t>ше</w:t>
      </w:r>
      <w:r w:rsidR="00B009B6">
        <w:t xml:space="preserve"> ніж</w:t>
      </w:r>
      <w:r>
        <w:t xml:space="preserve"> витрати </w:t>
      </w:r>
      <w:r w:rsidR="00345941">
        <w:t>за січень-</w:t>
      </w:r>
      <w:r w:rsidR="007E573B">
        <w:t>червень</w:t>
      </w:r>
      <w:r w:rsidR="0051017E">
        <w:t xml:space="preserve"> 202</w:t>
      </w:r>
      <w:r>
        <w:t>3</w:t>
      </w:r>
      <w:r w:rsidR="00345941">
        <w:t xml:space="preserve"> року</w:t>
      </w:r>
      <w:r w:rsidR="00B009B6">
        <w:t xml:space="preserve"> (</w:t>
      </w:r>
      <w:r w:rsidR="007E573B">
        <w:t>-3</w:t>
      </w:r>
      <w:r>
        <w:t>,</w:t>
      </w:r>
      <w:r w:rsidR="00840751">
        <w:t>4</w:t>
      </w:r>
      <w:r w:rsidR="00B009B6">
        <w:t>%)</w:t>
      </w:r>
      <w:r>
        <w:t>;</w:t>
      </w:r>
    </w:p>
    <w:p w:rsidR="00166EA4" w:rsidRDefault="00AC5BF5" w:rsidP="00B009B6">
      <w:pPr>
        <w:ind w:firstLine="708"/>
        <w:jc w:val="both"/>
      </w:pPr>
      <w:r>
        <w:t xml:space="preserve">по спеціальному фонду – </w:t>
      </w:r>
      <w:r w:rsidR="000D22ED">
        <w:t>2 965,2</w:t>
      </w:r>
      <w:r>
        <w:t xml:space="preserve"> тис. грн</w:t>
      </w:r>
      <w:r w:rsidR="00B009B6">
        <w:t>.</w:t>
      </w:r>
      <w:r>
        <w:t xml:space="preserve">, що на </w:t>
      </w:r>
      <w:r w:rsidR="000D22ED">
        <w:t>922,5</w:t>
      </w:r>
      <w:r>
        <w:t xml:space="preserve"> тис. грн. більше </w:t>
      </w:r>
      <w:r w:rsidR="0065721A">
        <w:t xml:space="preserve">ніж </w:t>
      </w:r>
      <w:r>
        <w:t>витрат</w:t>
      </w:r>
      <w:r w:rsidR="0065721A">
        <w:t>и</w:t>
      </w:r>
      <w:r>
        <w:t xml:space="preserve"> </w:t>
      </w:r>
      <w:r w:rsidR="000D22ED">
        <w:t>за шість місяців 2023 року (+</w:t>
      </w:r>
      <w:r>
        <w:t>4</w:t>
      </w:r>
      <w:r w:rsidR="000D22ED">
        <w:t>5</w:t>
      </w:r>
      <w:r>
        <w:t>,</w:t>
      </w:r>
      <w:r w:rsidR="000D22ED">
        <w:t>2</w:t>
      </w:r>
      <w:r>
        <w:t>%).</w:t>
      </w:r>
      <w:r w:rsidR="00B009B6">
        <w:t xml:space="preserve"> </w:t>
      </w:r>
    </w:p>
    <w:p w:rsidR="00166EA4" w:rsidRDefault="002441A7" w:rsidP="00B009B6">
      <w:pPr>
        <w:ind w:firstLine="708"/>
        <w:jc w:val="both"/>
      </w:pPr>
      <w:r>
        <w:t>З них в</w:t>
      </w:r>
      <w:r w:rsidR="00166EA4">
        <w:t>идатки освоєні:</w:t>
      </w:r>
    </w:p>
    <w:p w:rsidR="00B009B6" w:rsidRPr="003B009D" w:rsidRDefault="00B009B6" w:rsidP="00B009B6">
      <w:pPr>
        <w:ind w:firstLine="708"/>
        <w:jc w:val="both"/>
      </w:pPr>
      <w:r>
        <w:t xml:space="preserve">- на утримання </w:t>
      </w:r>
      <w:r w:rsidRPr="00790836">
        <w:t>Терит</w:t>
      </w:r>
      <w:r>
        <w:t xml:space="preserve">оріального центру </w:t>
      </w:r>
      <w:r w:rsidR="00166EA4">
        <w:t>в розмірі</w:t>
      </w:r>
      <w:r w:rsidR="00585ADD" w:rsidRPr="00585ADD">
        <w:rPr>
          <w:lang w:val="ru-RU"/>
        </w:rPr>
        <w:t xml:space="preserve"> 7 507</w:t>
      </w:r>
      <w:r w:rsidR="00585ADD">
        <w:t>,</w:t>
      </w:r>
      <w:r w:rsidR="00585ADD" w:rsidRPr="00585ADD">
        <w:rPr>
          <w:lang w:val="ru-RU"/>
        </w:rPr>
        <w:t>5</w:t>
      </w:r>
      <w:r w:rsidR="00166EA4">
        <w:t xml:space="preserve"> </w:t>
      </w:r>
      <w:r w:rsidRPr="003B009D">
        <w:t xml:space="preserve"> тис. грн.</w:t>
      </w:r>
      <w:r w:rsidR="00166EA4">
        <w:t>,</w:t>
      </w:r>
      <w:r w:rsidR="001946CD">
        <w:t xml:space="preserve"> </w:t>
      </w:r>
      <w:r w:rsidR="00166EA4">
        <w:t xml:space="preserve">в тому числі  </w:t>
      </w:r>
      <w:r w:rsidR="001946CD">
        <w:t xml:space="preserve">видатки загального фонду – </w:t>
      </w:r>
      <w:r w:rsidR="00EA642A">
        <w:t xml:space="preserve">6 493,7 </w:t>
      </w:r>
      <w:r w:rsidR="001946CD">
        <w:t>тис. грн. або на 9</w:t>
      </w:r>
      <w:r w:rsidR="00EA642A">
        <w:t>5</w:t>
      </w:r>
      <w:r w:rsidR="001946CD">
        <w:t>,</w:t>
      </w:r>
      <w:r w:rsidR="00EA642A">
        <w:t>5</w:t>
      </w:r>
      <w:r w:rsidR="001946CD">
        <w:t xml:space="preserve">% </w:t>
      </w:r>
      <w:r w:rsidR="001946CD" w:rsidRPr="003B009D">
        <w:t>до планових показників</w:t>
      </w:r>
      <w:r w:rsidR="001946CD">
        <w:t xml:space="preserve">,  </w:t>
      </w:r>
      <w:r w:rsidR="00166EA4">
        <w:t xml:space="preserve">видатки спеціального фонду  - </w:t>
      </w:r>
      <w:r w:rsidR="00EA642A">
        <w:t>1 013,8</w:t>
      </w:r>
      <w:r w:rsidR="00166EA4">
        <w:t xml:space="preserve"> тис. грн.</w:t>
      </w:r>
      <w:r w:rsidR="00672DFD">
        <w:t>;</w:t>
      </w:r>
    </w:p>
    <w:p w:rsidR="00B009B6" w:rsidRDefault="00B009B6" w:rsidP="00B009B6">
      <w:pPr>
        <w:ind w:firstLine="708"/>
        <w:jc w:val="both"/>
      </w:pPr>
      <w:r w:rsidRPr="003B009D">
        <w:t xml:space="preserve">- на утримання Центру соціальних служб при планові </w:t>
      </w:r>
      <w:r w:rsidR="00525E56">
        <w:t>437,5</w:t>
      </w:r>
      <w:r w:rsidRPr="003B009D">
        <w:t xml:space="preserve"> тис. грн. профінансовано </w:t>
      </w:r>
      <w:r w:rsidR="00525E56">
        <w:t>375,7</w:t>
      </w:r>
      <w:r w:rsidR="00585ADD" w:rsidRPr="003B009D">
        <w:t xml:space="preserve"> </w:t>
      </w:r>
      <w:r w:rsidRPr="003B009D">
        <w:t xml:space="preserve"> тис. грн. або </w:t>
      </w:r>
      <w:r w:rsidR="0065721A">
        <w:t>8</w:t>
      </w:r>
      <w:r w:rsidR="00525E56">
        <w:t>5</w:t>
      </w:r>
      <w:r w:rsidR="0065721A">
        <w:t>,</w:t>
      </w:r>
      <w:r w:rsidR="00585ADD">
        <w:t>9</w:t>
      </w:r>
      <w:r w:rsidRPr="003B009D">
        <w:t>% до плану</w:t>
      </w:r>
      <w:r w:rsidR="00A9431D">
        <w:t xml:space="preserve"> (видатки загального фонду)</w:t>
      </w:r>
      <w:r w:rsidRPr="003B009D">
        <w:t xml:space="preserve">. </w:t>
      </w:r>
    </w:p>
    <w:p w:rsidR="00B009B6" w:rsidRDefault="00BB34D5" w:rsidP="00B009B6">
      <w:pPr>
        <w:ind w:firstLine="708"/>
        <w:jc w:val="both"/>
      </w:pPr>
      <w:r>
        <w:rPr>
          <w:kern w:val="2"/>
        </w:rPr>
        <w:t xml:space="preserve">З загального фонду  бюджету громади спрямовані видатки на </w:t>
      </w:r>
      <w:r w:rsidRPr="001514F2">
        <w:rPr>
          <w:kern w:val="2"/>
        </w:rPr>
        <w:t>виконання завдань та заходів програм</w:t>
      </w:r>
      <w:r>
        <w:rPr>
          <w:kern w:val="2"/>
        </w:rPr>
        <w:t>:</w:t>
      </w:r>
      <w:r w:rsidR="00B009B6">
        <w:t xml:space="preserve"> </w:t>
      </w:r>
      <w:r w:rsidR="00B009B6" w:rsidRPr="00572139">
        <w:t>Програма організації та проведення громадських робіт територіальної громади Диканської селищної ради на 2022-2024 роки</w:t>
      </w:r>
      <w:r w:rsidR="00B009B6">
        <w:t xml:space="preserve"> профінансована в сумі </w:t>
      </w:r>
      <w:r w:rsidR="00585ADD">
        <w:t>295,4</w:t>
      </w:r>
      <w:r w:rsidR="002441A7">
        <w:t xml:space="preserve"> тис. грн., що складає </w:t>
      </w:r>
      <w:r w:rsidR="00585ADD">
        <w:t>89,</w:t>
      </w:r>
      <w:r w:rsidR="002441A7">
        <w:t>4</w:t>
      </w:r>
      <w:r>
        <w:t>%</w:t>
      </w:r>
      <w:r w:rsidR="002441A7">
        <w:t xml:space="preserve"> до плану та на </w:t>
      </w:r>
      <w:r w:rsidR="002441A7" w:rsidRPr="00BB34D5">
        <w:t>14</w:t>
      </w:r>
      <w:r w:rsidR="00585ADD">
        <w:t>,0</w:t>
      </w:r>
      <w:r w:rsidR="002441A7" w:rsidRPr="00BB34D5">
        <w:t xml:space="preserve"> тис. грн. більше</w:t>
      </w:r>
      <w:r w:rsidR="002464FE" w:rsidRPr="00BB34D5">
        <w:t xml:space="preserve"> ніж за </w:t>
      </w:r>
      <w:r w:rsidR="00585ADD">
        <w:t xml:space="preserve">шість </w:t>
      </w:r>
      <w:r w:rsidR="002441A7" w:rsidRPr="00BB34D5">
        <w:t>місяці</w:t>
      </w:r>
      <w:r w:rsidR="00585ADD">
        <w:t>в</w:t>
      </w:r>
      <w:r w:rsidR="002464FE" w:rsidRPr="00BB34D5">
        <w:t xml:space="preserve"> попереднього року (</w:t>
      </w:r>
      <w:r w:rsidR="002441A7" w:rsidRPr="00BB34D5">
        <w:t>+</w:t>
      </w:r>
      <w:r w:rsidR="00525E56">
        <w:t>5</w:t>
      </w:r>
      <w:r w:rsidR="002441A7" w:rsidRPr="00BB34D5">
        <w:t>,0</w:t>
      </w:r>
      <w:r w:rsidR="002464FE" w:rsidRPr="00BB34D5">
        <w:t>%)</w:t>
      </w:r>
      <w:r w:rsidR="00B009B6" w:rsidRPr="00BB34D5">
        <w:t>;</w:t>
      </w:r>
    </w:p>
    <w:p w:rsidR="00BB34D5" w:rsidRDefault="004363EE" w:rsidP="00BB34D5">
      <w:pPr>
        <w:ind w:firstLine="708"/>
        <w:jc w:val="both"/>
      </w:pPr>
      <w:r>
        <w:t xml:space="preserve">- на </w:t>
      </w:r>
      <w:r w:rsidRPr="004363EE">
        <w:t>Програм</w:t>
      </w:r>
      <w:r>
        <w:t>у</w:t>
      </w:r>
      <w:r w:rsidRPr="004363EE">
        <w:t xml:space="preserve"> організації оплачуваних суспільно корисних робіт для порушників, на яких судом накладено адміністративне стягнення у вигляді виконання суспільно корисних робіт</w:t>
      </w:r>
      <w:r w:rsidR="000B0047">
        <w:t>,</w:t>
      </w:r>
      <w:r w:rsidRPr="004363EE">
        <w:t xml:space="preserve"> на 2022-2024 роки</w:t>
      </w:r>
      <w:r>
        <w:t xml:space="preserve"> спрямовані кошти в сумі </w:t>
      </w:r>
      <w:r w:rsidR="002441A7">
        <w:t>19,2</w:t>
      </w:r>
      <w:r>
        <w:t xml:space="preserve"> тис. грн., що складає </w:t>
      </w:r>
      <w:r w:rsidR="00525E56">
        <w:t>52,2</w:t>
      </w:r>
      <w:r>
        <w:t xml:space="preserve"> % планових показників</w:t>
      </w:r>
      <w:r w:rsidR="00E86B98">
        <w:t xml:space="preserve"> та на </w:t>
      </w:r>
      <w:r w:rsidR="00525E56">
        <w:t>19,7</w:t>
      </w:r>
      <w:r w:rsidR="00E86B98">
        <w:t xml:space="preserve"> тис. грн. </w:t>
      </w:r>
      <w:r w:rsidR="00525E56">
        <w:t>мен</w:t>
      </w:r>
      <w:r w:rsidR="00E86B98">
        <w:t xml:space="preserve">ше витрат </w:t>
      </w:r>
      <w:r w:rsidR="00BB34D5">
        <w:t xml:space="preserve">ніж </w:t>
      </w:r>
      <w:r w:rsidR="00E86B98">
        <w:t xml:space="preserve">за 1 </w:t>
      </w:r>
      <w:r w:rsidR="00525E56">
        <w:t xml:space="preserve">півріччя </w:t>
      </w:r>
      <w:r w:rsidR="00E86B98">
        <w:t>2023 року (</w:t>
      </w:r>
      <w:r w:rsidR="00525E56">
        <w:t>-50,6</w:t>
      </w:r>
      <w:r w:rsidR="00E86B98">
        <w:t>%)</w:t>
      </w:r>
      <w:r>
        <w:t>;</w:t>
      </w:r>
    </w:p>
    <w:p w:rsidR="00BB34D5" w:rsidRDefault="00BB34D5" w:rsidP="00B009B6">
      <w:pPr>
        <w:ind w:firstLine="708"/>
        <w:jc w:val="both"/>
        <w:rPr>
          <w:bCs/>
          <w:spacing w:val="3"/>
          <w:shd w:val="clear" w:color="auto" w:fill="FFFFFF"/>
        </w:rPr>
      </w:pPr>
      <w:r>
        <w:rPr>
          <w:bCs/>
          <w:spacing w:val="3"/>
          <w:shd w:val="clear" w:color="auto" w:fill="FFFFFF"/>
        </w:rPr>
        <w:t xml:space="preserve">- по </w:t>
      </w:r>
      <w:r w:rsidRPr="00EC4EA2">
        <w:rPr>
          <w:bCs/>
          <w:spacing w:val="3"/>
          <w:shd w:val="clear" w:color="auto" w:fill="FFFFFF"/>
        </w:rPr>
        <w:t>Програм</w:t>
      </w:r>
      <w:r>
        <w:rPr>
          <w:bCs/>
          <w:spacing w:val="3"/>
          <w:shd w:val="clear" w:color="auto" w:fill="FFFFFF"/>
        </w:rPr>
        <w:t>і</w:t>
      </w:r>
      <w:r w:rsidRPr="00EC4EA2">
        <w:rPr>
          <w:bCs/>
          <w:spacing w:val="3"/>
          <w:shd w:val="clear" w:color="auto" w:fill="FFFFFF"/>
        </w:rPr>
        <w:t xml:space="preserve"> підтримки діял</w:t>
      </w:r>
      <w:r>
        <w:rPr>
          <w:bCs/>
          <w:spacing w:val="3"/>
          <w:shd w:val="clear" w:color="auto" w:fill="FFFFFF"/>
        </w:rPr>
        <w:t>ьності громадської організації «</w:t>
      </w:r>
      <w:r w:rsidRPr="00EC4EA2">
        <w:rPr>
          <w:bCs/>
          <w:spacing w:val="3"/>
          <w:shd w:val="clear" w:color="auto" w:fill="FFFFFF"/>
        </w:rPr>
        <w:t>Диканська районна організація Товариства Червоного Хреста України</w:t>
      </w:r>
      <w:r>
        <w:rPr>
          <w:bCs/>
          <w:spacing w:val="3"/>
          <w:shd w:val="clear" w:color="auto" w:fill="FFFFFF"/>
        </w:rPr>
        <w:t xml:space="preserve">» касові видатки становлять </w:t>
      </w:r>
      <w:r w:rsidR="00525E56">
        <w:rPr>
          <w:bCs/>
          <w:spacing w:val="3"/>
          <w:shd w:val="clear" w:color="auto" w:fill="FFFFFF"/>
        </w:rPr>
        <w:t>55,3</w:t>
      </w:r>
      <w:r>
        <w:rPr>
          <w:bCs/>
          <w:spacing w:val="3"/>
          <w:shd w:val="clear" w:color="auto" w:fill="FFFFFF"/>
        </w:rPr>
        <w:t xml:space="preserve"> тис. грн. (99,9% до плану) та на </w:t>
      </w:r>
      <w:r w:rsidR="00525E56">
        <w:rPr>
          <w:bCs/>
          <w:spacing w:val="3"/>
          <w:shd w:val="clear" w:color="auto" w:fill="FFFFFF"/>
        </w:rPr>
        <w:t>6,3</w:t>
      </w:r>
      <w:r>
        <w:rPr>
          <w:bCs/>
          <w:spacing w:val="3"/>
          <w:shd w:val="clear" w:color="auto" w:fill="FFFFFF"/>
        </w:rPr>
        <w:t xml:space="preserve"> тис. грн. більше ніж за аналогічний період в минулому році (+</w:t>
      </w:r>
      <w:r w:rsidR="00525E56">
        <w:rPr>
          <w:bCs/>
          <w:spacing w:val="3"/>
          <w:shd w:val="clear" w:color="auto" w:fill="FFFFFF"/>
        </w:rPr>
        <w:t>12,8</w:t>
      </w:r>
      <w:r>
        <w:rPr>
          <w:bCs/>
          <w:spacing w:val="3"/>
          <w:shd w:val="clear" w:color="auto" w:fill="FFFFFF"/>
        </w:rPr>
        <w:t>%);</w:t>
      </w:r>
    </w:p>
    <w:p w:rsidR="0032774B" w:rsidRDefault="00525E56" w:rsidP="00B009B6">
      <w:pPr>
        <w:ind w:firstLine="708"/>
        <w:jc w:val="both"/>
        <w:rPr>
          <w:bCs/>
          <w:spacing w:val="3"/>
          <w:shd w:val="clear" w:color="auto" w:fill="FFFFFF"/>
        </w:rPr>
      </w:pPr>
      <w:r>
        <w:t>-</w:t>
      </w:r>
      <w:r w:rsidR="00B009B6" w:rsidRPr="00001EBB">
        <w:rPr>
          <w:bCs/>
          <w:spacing w:val="3"/>
          <w:shd w:val="clear" w:color="auto" w:fill="FFFFFF"/>
        </w:rPr>
        <w:t>Програма підтримки діяльності громадської організації "Відокремлений підрозділ організації ветеранів України у Диканській територіальній громаді"</w:t>
      </w:r>
      <w:r w:rsidR="00B009B6">
        <w:rPr>
          <w:bCs/>
          <w:spacing w:val="3"/>
          <w:shd w:val="clear" w:color="auto" w:fill="FFFFFF"/>
        </w:rPr>
        <w:t xml:space="preserve"> профінансована на </w:t>
      </w:r>
      <w:r w:rsidR="006D65FC">
        <w:rPr>
          <w:bCs/>
          <w:spacing w:val="3"/>
          <w:shd w:val="clear" w:color="auto" w:fill="FFFFFF"/>
        </w:rPr>
        <w:t>95,</w:t>
      </w:r>
      <w:r w:rsidR="00B811E8">
        <w:rPr>
          <w:bCs/>
          <w:spacing w:val="3"/>
          <w:shd w:val="clear" w:color="auto" w:fill="FFFFFF"/>
        </w:rPr>
        <w:t>6</w:t>
      </w:r>
      <w:r w:rsidR="00B009B6">
        <w:rPr>
          <w:bCs/>
          <w:spacing w:val="3"/>
          <w:shd w:val="clear" w:color="auto" w:fill="FFFFFF"/>
        </w:rPr>
        <w:t xml:space="preserve">% до плану в сумі </w:t>
      </w:r>
      <w:r w:rsidR="00B811E8">
        <w:rPr>
          <w:bCs/>
          <w:spacing w:val="3"/>
          <w:shd w:val="clear" w:color="auto" w:fill="FFFFFF"/>
        </w:rPr>
        <w:t>114,5</w:t>
      </w:r>
      <w:r w:rsidR="00B009B6">
        <w:rPr>
          <w:bCs/>
          <w:spacing w:val="3"/>
          <w:shd w:val="clear" w:color="auto" w:fill="FFFFFF"/>
        </w:rPr>
        <w:t xml:space="preserve"> </w:t>
      </w:r>
      <w:r w:rsidR="00B009B6" w:rsidRPr="003B009D">
        <w:rPr>
          <w:bCs/>
          <w:spacing w:val="3"/>
          <w:shd w:val="clear" w:color="auto" w:fill="FFFFFF"/>
        </w:rPr>
        <w:t>тис. грн.</w:t>
      </w:r>
      <w:r w:rsidR="007E55F5">
        <w:rPr>
          <w:bCs/>
          <w:spacing w:val="3"/>
          <w:shd w:val="clear" w:color="auto" w:fill="FFFFFF"/>
        </w:rPr>
        <w:t>, що більше видатк</w:t>
      </w:r>
      <w:r w:rsidR="00EF0E5A">
        <w:rPr>
          <w:bCs/>
          <w:spacing w:val="3"/>
          <w:shd w:val="clear" w:color="auto" w:fill="FFFFFF"/>
        </w:rPr>
        <w:t>ів</w:t>
      </w:r>
      <w:r w:rsidR="007E55F5">
        <w:rPr>
          <w:bCs/>
          <w:spacing w:val="3"/>
          <w:shd w:val="clear" w:color="auto" w:fill="FFFFFF"/>
        </w:rPr>
        <w:t xml:space="preserve"> за </w:t>
      </w:r>
      <w:r w:rsidR="006B140B">
        <w:rPr>
          <w:bCs/>
          <w:spacing w:val="3"/>
          <w:shd w:val="clear" w:color="auto" w:fill="FFFFFF"/>
        </w:rPr>
        <w:t>січень-</w:t>
      </w:r>
      <w:r w:rsidR="00B811E8">
        <w:rPr>
          <w:bCs/>
          <w:spacing w:val="3"/>
          <w:shd w:val="clear" w:color="auto" w:fill="FFFFFF"/>
        </w:rPr>
        <w:t xml:space="preserve">червень </w:t>
      </w:r>
      <w:r w:rsidR="00EF0E5A">
        <w:rPr>
          <w:bCs/>
          <w:spacing w:val="3"/>
          <w:shd w:val="clear" w:color="auto" w:fill="FFFFFF"/>
        </w:rPr>
        <w:t>202</w:t>
      </w:r>
      <w:r w:rsidR="006D65FC">
        <w:rPr>
          <w:bCs/>
          <w:spacing w:val="3"/>
          <w:shd w:val="clear" w:color="auto" w:fill="FFFFFF"/>
        </w:rPr>
        <w:t>3</w:t>
      </w:r>
      <w:r w:rsidR="00EF0E5A">
        <w:rPr>
          <w:bCs/>
          <w:spacing w:val="3"/>
          <w:shd w:val="clear" w:color="auto" w:fill="FFFFFF"/>
        </w:rPr>
        <w:t xml:space="preserve"> року</w:t>
      </w:r>
      <w:r w:rsidR="00B811E8">
        <w:rPr>
          <w:bCs/>
          <w:spacing w:val="3"/>
          <w:shd w:val="clear" w:color="auto" w:fill="FFFFFF"/>
        </w:rPr>
        <w:t xml:space="preserve"> на 12,4</w:t>
      </w:r>
      <w:r w:rsidR="006D65FC">
        <w:rPr>
          <w:bCs/>
          <w:spacing w:val="3"/>
          <w:shd w:val="clear" w:color="auto" w:fill="FFFFFF"/>
        </w:rPr>
        <w:t>%</w:t>
      </w:r>
      <w:r w:rsidR="00177902">
        <w:rPr>
          <w:bCs/>
          <w:spacing w:val="3"/>
          <w:shd w:val="clear" w:color="auto" w:fill="FFFFFF"/>
        </w:rPr>
        <w:t xml:space="preserve"> або більше на </w:t>
      </w:r>
      <w:r w:rsidR="00B811E8">
        <w:rPr>
          <w:bCs/>
          <w:spacing w:val="3"/>
          <w:shd w:val="clear" w:color="auto" w:fill="FFFFFF"/>
        </w:rPr>
        <w:t>12,6</w:t>
      </w:r>
      <w:r w:rsidR="000B0047">
        <w:rPr>
          <w:bCs/>
          <w:spacing w:val="3"/>
          <w:shd w:val="clear" w:color="auto" w:fill="FFFFFF"/>
        </w:rPr>
        <w:t xml:space="preserve"> тис. грн.;</w:t>
      </w:r>
    </w:p>
    <w:p w:rsidR="001D7A64" w:rsidRDefault="00B009B6" w:rsidP="00B009B6">
      <w:pPr>
        <w:ind w:firstLine="708"/>
        <w:jc w:val="both"/>
        <w:rPr>
          <w:bCs/>
          <w:spacing w:val="3"/>
          <w:shd w:val="clear" w:color="auto" w:fill="FFFFFF"/>
        </w:rPr>
      </w:pPr>
      <w:r>
        <w:rPr>
          <w:bCs/>
          <w:spacing w:val="3"/>
          <w:shd w:val="clear" w:color="auto" w:fill="FFFFFF"/>
        </w:rPr>
        <w:t xml:space="preserve">- по </w:t>
      </w:r>
      <w:r w:rsidRPr="00572139">
        <w:rPr>
          <w:bCs/>
          <w:spacing w:val="3"/>
          <w:shd w:val="clear" w:color="auto" w:fill="FFFFFF"/>
        </w:rPr>
        <w:t>Програм</w:t>
      </w:r>
      <w:r>
        <w:rPr>
          <w:bCs/>
          <w:spacing w:val="3"/>
          <w:shd w:val="clear" w:color="auto" w:fill="FFFFFF"/>
        </w:rPr>
        <w:t>і</w:t>
      </w:r>
      <w:r w:rsidRPr="00572139">
        <w:rPr>
          <w:bCs/>
          <w:spacing w:val="3"/>
          <w:shd w:val="clear" w:color="auto" w:fill="FFFFFF"/>
        </w:rPr>
        <w:t xml:space="preserve"> «Соціальний автобус» Диканської селищної територіальної громади на 2022- 2024 роки</w:t>
      </w:r>
      <w:r>
        <w:rPr>
          <w:bCs/>
          <w:spacing w:val="3"/>
          <w:shd w:val="clear" w:color="auto" w:fill="FFFFFF"/>
        </w:rPr>
        <w:t xml:space="preserve">  освоєні кошти в сумі </w:t>
      </w:r>
      <w:r w:rsidR="00B811E8">
        <w:rPr>
          <w:bCs/>
          <w:spacing w:val="3"/>
          <w:shd w:val="clear" w:color="auto" w:fill="FFFFFF"/>
        </w:rPr>
        <w:t>194,0</w:t>
      </w:r>
      <w:r>
        <w:rPr>
          <w:bCs/>
          <w:spacing w:val="3"/>
          <w:shd w:val="clear" w:color="auto" w:fill="FFFFFF"/>
        </w:rPr>
        <w:t xml:space="preserve"> тис. грн., що складає </w:t>
      </w:r>
      <w:r w:rsidR="00B811E8">
        <w:rPr>
          <w:bCs/>
          <w:spacing w:val="3"/>
          <w:shd w:val="clear" w:color="auto" w:fill="FFFFFF"/>
        </w:rPr>
        <w:t>67,4</w:t>
      </w:r>
      <w:r w:rsidR="00CD45D0">
        <w:rPr>
          <w:bCs/>
          <w:spacing w:val="3"/>
          <w:shd w:val="clear" w:color="auto" w:fill="FFFFFF"/>
        </w:rPr>
        <w:t xml:space="preserve">% до плану </w:t>
      </w:r>
      <w:r w:rsidR="006C642C">
        <w:rPr>
          <w:bCs/>
          <w:spacing w:val="3"/>
          <w:shd w:val="clear" w:color="auto" w:fill="FFFFFF"/>
        </w:rPr>
        <w:t>та</w:t>
      </w:r>
      <w:r w:rsidR="00CD45D0">
        <w:rPr>
          <w:bCs/>
          <w:spacing w:val="3"/>
          <w:shd w:val="clear" w:color="auto" w:fill="FFFFFF"/>
        </w:rPr>
        <w:t xml:space="preserve"> на </w:t>
      </w:r>
      <w:r w:rsidR="00B811E8">
        <w:rPr>
          <w:bCs/>
          <w:spacing w:val="3"/>
          <w:shd w:val="clear" w:color="auto" w:fill="FFFFFF"/>
        </w:rPr>
        <w:t>107,1</w:t>
      </w:r>
      <w:r w:rsidR="00CD45D0">
        <w:rPr>
          <w:bCs/>
          <w:spacing w:val="3"/>
          <w:shd w:val="clear" w:color="auto" w:fill="FFFFFF"/>
        </w:rPr>
        <w:t xml:space="preserve"> тис. грн. </w:t>
      </w:r>
      <w:r w:rsidR="00B811E8">
        <w:rPr>
          <w:bCs/>
          <w:spacing w:val="3"/>
          <w:shd w:val="clear" w:color="auto" w:fill="FFFFFF"/>
        </w:rPr>
        <w:t>більше</w:t>
      </w:r>
      <w:r w:rsidR="00CD45D0">
        <w:rPr>
          <w:bCs/>
          <w:spacing w:val="3"/>
          <w:shd w:val="clear" w:color="auto" w:fill="FFFFFF"/>
        </w:rPr>
        <w:t xml:space="preserve">  ніж за </w:t>
      </w:r>
      <w:r w:rsidR="00B811E8">
        <w:rPr>
          <w:bCs/>
          <w:spacing w:val="3"/>
          <w:shd w:val="clear" w:color="auto" w:fill="FFFFFF"/>
        </w:rPr>
        <w:t>два квартали</w:t>
      </w:r>
      <w:r w:rsidR="00576265">
        <w:rPr>
          <w:bCs/>
          <w:spacing w:val="3"/>
          <w:shd w:val="clear" w:color="auto" w:fill="FFFFFF"/>
        </w:rPr>
        <w:t xml:space="preserve"> </w:t>
      </w:r>
      <w:r w:rsidR="00CD45D0">
        <w:rPr>
          <w:bCs/>
          <w:spacing w:val="3"/>
          <w:shd w:val="clear" w:color="auto" w:fill="FFFFFF"/>
        </w:rPr>
        <w:t>202</w:t>
      </w:r>
      <w:r w:rsidR="006D65FC">
        <w:rPr>
          <w:bCs/>
          <w:spacing w:val="3"/>
          <w:shd w:val="clear" w:color="auto" w:fill="FFFFFF"/>
        </w:rPr>
        <w:t>3</w:t>
      </w:r>
      <w:r w:rsidR="00CD45D0">
        <w:rPr>
          <w:bCs/>
          <w:spacing w:val="3"/>
          <w:shd w:val="clear" w:color="auto" w:fill="FFFFFF"/>
        </w:rPr>
        <w:t xml:space="preserve"> року (</w:t>
      </w:r>
      <w:r w:rsidR="00B811E8">
        <w:rPr>
          <w:bCs/>
          <w:spacing w:val="3"/>
          <w:shd w:val="clear" w:color="auto" w:fill="FFFFFF"/>
        </w:rPr>
        <w:t>більше ніж у 2 рази, що пояснюється введенням на маршрути ще одного автобуса)</w:t>
      </w:r>
      <w:r w:rsidR="000B0047">
        <w:rPr>
          <w:bCs/>
          <w:spacing w:val="3"/>
          <w:shd w:val="clear" w:color="auto" w:fill="FFFFFF"/>
        </w:rPr>
        <w:t>;</w:t>
      </w:r>
    </w:p>
    <w:p w:rsidR="00C96DF8" w:rsidRDefault="00C96DF8" w:rsidP="00B009B6">
      <w:pPr>
        <w:ind w:firstLine="708"/>
        <w:jc w:val="both"/>
        <w:rPr>
          <w:rFonts w:eastAsia="Arial"/>
        </w:rPr>
      </w:pPr>
      <w:r w:rsidRPr="00C96DF8">
        <w:rPr>
          <w:bCs/>
          <w:spacing w:val="3"/>
          <w:shd w:val="clear" w:color="auto" w:fill="FFFFFF"/>
        </w:rPr>
        <w:t xml:space="preserve">- по Програмі </w:t>
      </w:r>
      <w:r w:rsidR="006D65FC" w:rsidRPr="006D65FC">
        <w:rPr>
          <w:rFonts w:eastAsia="Arial"/>
        </w:rPr>
        <w:t>сприяння розвитку волонтерської діяльності на території Диканської селищної територіальної громади на 2024 рік</w:t>
      </w:r>
      <w:r>
        <w:rPr>
          <w:rFonts w:eastAsia="Arial"/>
        </w:rPr>
        <w:t xml:space="preserve"> обсяг касових видатків складає</w:t>
      </w:r>
      <w:r w:rsidR="000B0047">
        <w:rPr>
          <w:rFonts w:eastAsia="Arial"/>
        </w:rPr>
        <w:t xml:space="preserve"> </w:t>
      </w:r>
      <w:r w:rsidR="006D65FC">
        <w:rPr>
          <w:rFonts w:eastAsia="Arial"/>
        </w:rPr>
        <w:t>1</w:t>
      </w:r>
      <w:r w:rsidR="00B811E8">
        <w:rPr>
          <w:rFonts w:eastAsia="Arial"/>
        </w:rPr>
        <w:t>40,1</w:t>
      </w:r>
      <w:r>
        <w:rPr>
          <w:rFonts w:eastAsia="Arial"/>
        </w:rPr>
        <w:t xml:space="preserve"> тис. грн. (</w:t>
      </w:r>
      <w:r w:rsidR="00B811E8">
        <w:rPr>
          <w:rFonts w:eastAsia="Arial"/>
        </w:rPr>
        <w:t>70,1</w:t>
      </w:r>
      <w:r w:rsidR="006C642C">
        <w:rPr>
          <w:rFonts w:eastAsia="Arial"/>
        </w:rPr>
        <w:t>% до плану);</w:t>
      </w:r>
    </w:p>
    <w:p w:rsidR="00525E56" w:rsidRDefault="00525E56" w:rsidP="00525E56">
      <w:pPr>
        <w:ind w:firstLine="708"/>
        <w:jc w:val="both"/>
      </w:pPr>
      <w:r>
        <w:t>-</w:t>
      </w:r>
      <w:r w:rsidRPr="00EC4EA2">
        <w:t xml:space="preserve">на Програму підтримки соціально-вразливих верств населення Диканської селищної ради «Турбота» </w:t>
      </w:r>
      <w:r>
        <w:t>освоєно кошти обсягом 1 696,8</w:t>
      </w:r>
      <w:r w:rsidRPr="00EC4EA2">
        <w:t xml:space="preserve"> тис. грн. або </w:t>
      </w:r>
      <w:r>
        <w:t>виконання плану складає 96,6%. Цьогорічні видатки на 2 542,2</w:t>
      </w:r>
      <w:r w:rsidRPr="00EC4EA2">
        <w:t xml:space="preserve"> тис. грн. </w:t>
      </w:r>
      <w:r>
        <w:t xml:space="preserve">менші </w:t>
      </w:r>
      <w:r w:rsidRPr="00EC4EA2">
        <w:t xml:space="preserve">ніж </w:t>
      </w:r>
      <w:r>
        <w:t xml:space="preserve">фінансування за січень-червень </w:t>
      </w:r>
      <w:r w:rsidRPr="00EC4EA2">
        <w:t>202</w:t>
      </w:r>
      <w:r>
        <w:t>3</w:t>
      </w:r>
      <w:r w:rsidRPr="00EC4EA2">
        <w:t xml:space="preserve"> ро</w:t>
      </w:r>
      <w:r>
        <w:t>ку (-60,0%);</w:t>
      </w:r>
    </w:p>
    <w:p w:rsidR="00525E56" w:rsidRDefault="00525E56" w:rsidP="00525E56">
      <w:pPr>
        <w:ind w:firstLine="708"/>
        <w:jc w:val="both"/>
        <w:rPr>
          <w:rFonts w:eastAsia="Arial"/>
        </w:rPr>
      </w:pPr>
      <w:r>
        <w:rPr>
          <w:rFonts w:eastAsia="Arial"/>
        </w:rPr>
        <w:t>- на Комплексну</w:t>
      </w:r>
      <w:r w:rsidRPr="006C642C">
        <w:rPr>
          <w:rFonts w:eastAsia="Arial"/>
        </w:rPr>
        <w:t xml:space="preserve"> програм</w:t>
      </w:r>
      <w:r>
        <w:rPr>
          <w:rFonts w:eastAsia="Arial"/>
        </w:rPr>
        <w:t>у</w:t>
      </w:r>
      <w:r w:rsidRPr="006C642C">
        <w:rPr>
          <w:rFonts w:eastAsia="Arial"/>
        </w:rPr>
        <w:t xml:space="preserve"> розвитку ветеранської політики у Диканській територіальній громаді на 2024-2026 роки</w:t>
      </w:r>
      <w:r>
        <w:rPr>
          <w:rFonts w:eastAsia="Arial"/>
        </w:rPr>
        <w:t xml:space="preserve"> освоєні кошти в сумі </w:t>
      </w:r>
      <w:r w:rsidR="00B811E8">
        <w:rPr>
          <w:rFonts w:eastAsia="Arial"/>
        </w:rPr>
        <w:t>830,0</w:t>
      </w:r>
      <w:r>
        <w:rPr>
          <w:rFonts w:eastAsia="Arial"/>
        </w:rPr>
        <w:t xml:space="preserve"> тис. грн. або на </w:t>
      </w:r>
      <w:r w:rsidR="00B811E8">
        <w:rPr>
          <w:rFonts w:eastAsia="Arial"/>
        </w:rPr>
        <w:t>91,9</w:t>
      </w:r>
      <w:r>
        <w:rPr>
          <w:rFonts w:eastAsia="Arial"/>
        </w:rPr>
        <w:t>% від планових асигнувань звітного періоду;</w:t>
      </w:r>
    </w:p>
    <w:p w:rsidR="002C372C" w:rsidRPr="00114311" w:rsidRDefault="00B009B6" w:rsidP="002C372C">
      <w:pPr>
        <w:ind w:firstLine="708"/>
        <w:jc w:val="both"/>
      </w:pPr>
      <w:r w:rsidRPr="003B009D">
        <w:rPr>
          <w:bCs/>
          <w:spacing w:val="3"/>
          <w:shd w:val="clear" w:color="auto" w:fill="FFFFFF"/>
        </w:rPr>
        <w:lastRenderedPageBreak/>
        <w:t xml:space="preserve">Інша субвенція </w:t>
      </w:r>
      <w:r w:rsidR="001D7A64" w:rsidRPr="001D7A64">
        <w:rPr>
          <w:bCs/>
          <w:spacing w:val="3"/>
          <w:shd w:val="clear" w:color="auto" w:fill="FFFFFF"/>
        </w:rPr>
        <w:t xml:space="preserve">з місцевого бюджету </w:t>
      </w:r>
      <w:r w:rsidR="00720028">
        <w:rPr>
          <w:bCs/>
          <w:spacing w:val="3"/>
          <w:shd w:val="clear" w:color="auto" w:fill="FFFFFF"/>
        </w:rPr>
        <w:t xml:space="preserve">спрямована </w:t>
      </w:r>
      <w:r w:rsidR="001D7A64" w:rsidRPr="001D7A64">
        <w:rPr>
          <w:bCs/>
          <w:spacing w:val="3"/>
          <w:shd w:val="clear" w:color="auto" w:fill="FFFFFF"/>
        </w:rPr>
        <w:t>на</w:t>
      </w:r>
      <w:r w:rsidR="00720028">
        <w:rPr>
          <w:bCs/>
          <w:spacing w:val="3"/>
          <w:shd w:val="clear" w:color="auto" w:fill="FFFFFF"/>
        </w:rPr>
        <w:t>:</w:t>
      </w:r>
      <w:r w:rsidR="001D7A64" w:rsidRPr="001D7A64">
        <w:rPr>
          <w:bCs/>
          <w:spacing w:val="3"/>
          <w:shd w:val="clear" w:color="auto" w:fill="FFFFFF"/>
        </w:rPr>
        <w:t xml:space="preserve"> забезпеч</w:t>
      </w:r>
      <w:r w:rsidR="004C2AFB">
        <w:rPr>
          <w:bCs/>
          <w:spacing w:val="3"/>
          <w:shd w:val="clear" w:color="auto" w:fill="FFFFFF"/>
        </w:rPr>
        <w:t>ення</w:t>
      </w:r>
      <w:r w:rsidR="001D7A64" w:rsidRPr="001D7A64">
        <w:rPr>
          <w:bCs/>
          <w:spacing w:val="3"/>
          <w:shd w:val="clear" w:color="auto" w:fill="FFFFFF"/>
        </w:rPr>
        <w:t xml:space="preserve"> безоплатним зубопротезуванням та безоплатними ліками за рецептами лікарів громадян, які постраждали</w:t>
      </w:r>
      <w:r w:rsidR="004C2AFB">
        <w:rPr>
          <w:bCs/>
          <w:spacing w:val="3"/>
          <w:shd w:val="clear" w:color="auto" w:fill="FFFFFF"/>
        </w:rPr>
        <w:t xml:space="preserve"> </w:t>
      </w:r>
      <w:r w:rsidR="001D7A64" w:rsidRPr="001D7A64">
        <w:rPr>
          <w:bCs/>
          <w:spacing w:val="3"/>
          <w:shd w:val="clear" w:color="auto" w:fill="FFFFFF"/>
        </w:rPr>
        <w:t>внаслідок</w:t>
      </w:r>
      <w:r w:rsidR="004C2AFB">
        <w:rPr>
          <w:bCs/>
          <w:spacing w:val="3"/>
          <w:shd w:val="clear" w:color="auto" w:fill="FFFFFF"/>
        </w:rPr>
        <w:t xml:space="preserve"> </w:t>
      </w:r>
      <w:r w:rsidR="001D7A64" w:rsidRPr="001D7A64">
        <w:rPr>
          <w:bCs/>
          <w:spacing w:val="3"/>
          <w:shd w:val="clear" w:color="auto" w:fill="FFFFFF"/>
        </w:rPr>
        <w:t>Чорнобильської катастрофи,</w:t>
      </w:r>
      <w:r w:rsidR="004C2AFB">
        <w:rPr>
          <w:bCs/>
          <w:spacing w:val="3"/>
          <w:shd w:val="clear" w:color="auto" w:fill="FFFFFF"/>
        </w:rPr>
        <w:t xml:space="preserve"> </w:t>
      </w:r>
      <w:r w:rsidR="001D7A64" w:rsidRPr="001D7A64">
        <w:rPr>
          <w:bCs/>
          <w:spacing w:val="3"/>
          <w:shd w:val="clear" w:color="auto" w:fill="FFFFFF"/>
        </w:rPr>
        <w:t>в</w:t>
      </w:r>
      <w:r w:rsidR="004C2AFB">
        <w:rPr>
          <w:bCs/>
          <w:spacing w:val="3"/>
          <w:shd w:val="clear" w:color="auto" w:fill="FFFFFF"/>
        </w:rPr>
        <w:t xml:space="preserve"> </w:t>
      </w:r>
      <w:r w:rsidR="001D7A64" w:rsidRPr="001D7A64">
        <w:rPr>
          <w:bCs/>
          <w:spacing w:val="3"/>
          <w:shd w:val="clear" w:color="auto" w:fill="FFFFFF"/>
        </w:rPr>
        <w:t>тому</w:t>
      </w:r>
      <w:r w:rsidR="004C2AFB">
        <w:rPr>
          <w:bCs/>
          <w:spacing w:val="3"/>
          <w:shd w:val="clear" w:color="auto" w:fill="FFFFFF"/>
        </w:rPr>
        <w:t xml:space="preserve"> </w:t>
      </w:r>
      <w:r w:rsidR="001D7A64" w:rsidRPr="001D7A64">
        <w:rPr>
          <w:bCs/>
          <w:spacing w:val="3"/>
          <w:shd w:val="clear" w:color="auto" w:fill="FFFFFF"/>
        </w:rPr>
        <w:t>числі</w:t>
      </w:r>
      <w:r w:rsidR="004C2AFB">
        <w:rPr>
          <w:bCs/>
          <w:spacing w:val="3"/>
          <w:shd w:val="clear" w:color="auto" w:fill="FFFFFF"/>
        </w:rPr>
        <w:t xml:space="preserve"> </w:t>
      </w:r>
      <w:r w:rsidR="001D7A64" w:rsidRPr="001D7A64">
        <w:rPr>
          <w:bCs/>
          <w:spacing w:val="3"/>
          <w:shd w:val="clear" w:color="auto" w:fill="FFFFFF"/>
        </w:rPr>
        <w:t>хронічно хворих громадян, які потребують постійного прийому ліків</w:t>
      </w:r>
      <w:r>
        <w:rPr>
          <w:bCs/>
          <w:spacing w:val="3"/>
          <w:shd w:val="clear" w:color="auto" w:fill="FFFFFF"/>
        </w:rPr>
        <w:t>,</w:t>
      </w:r>
      <w:r w:rsidRPr="003B009D">
        <w:rPr>
          <w:bCs/>
          <w:spacing w:val="3"/>
          <w:shd w:val="clear" w:color="auto" w:fill="FFFFFF"/>
        </w:rPr>
        <w:t xml:space="preserve"> – при планові </w:t>
      </w:r>
      <w:r w:rsidR="00720028">
        <w:rPr>
          <w:bCs/>
          <w:spacing w:val="3"/>
          <w:shd w:val="clear" w:color="auto" w:fill="FFFFFF"/>
        </w:rPr>
        <w:t>36,0</w:t>
      </w:r>
      <w:r w:rsidRPr="003B009D">
        <w:rPr>
          <w:bCs/>
          <w:spacing w:val="3"/>
          <w:shd w:val="clear" w:color="auto" w:fill="FFFFFF"/>
        </w:rPr>
        <w:t xml:space="preserve"> тис. грн. </w:t>
      </w:r>
      <w:r w:rsidR="004C2AFB">
        <w:rPr>
          <w:bCs/>
          <w:spacing w:val="3"/>
          <w:shd w:val="clear" w:color="auto" w:fill="FFFFFF"/>
        </w:rPr>
        <w:t xml:space="preserve">освоєна </w:t>
      </w:r>
      <w:r w:rsidRPr="003B009D">
        <w:rPr>
          <w:bCs/>
          <w:spacing w:val="3"/>
          <w:shd w:val="clear" w:color="auto" w:fill="FFFFFF"/>
        </w:rPr>
        <w:t xml:space="preserve">в розмірі </w:t>
      </w:r>
      <w:r w:rsidR="00720028">
        <w:rPr>
          <w:bCs/>
          <w:spacing w:val="3"/>
          <w:shd w:val="clear" w:color="auto" w:fill="FFFFFF"/>
        </w:rPr>
        <w:t>19,1</w:t>
      </w:r>
      <w:r w:rsidR="008F07F5">
        <w:rPr>
          <w:bCs/>
          <w:spacing w:val="3"/>
          <w:shd w:val="clear" w:color="auto" w:fill="FFFFFF"/>
        </w:rPr>
        <w:t xml:space="preserve"> </w:t>
      </w:r>
      <w:r w:rsidRPr="003B009D">
        <w:rPr>
          <w:bCs/>
          <w:spacing w:val="3"/>
          <w:shd w:val="clear" w:color="auto" w:fill="FFFFFF"/>
        </w:rPr>
        <w:t>тис. грн.</w:t>
      </w:r>
      <w:r>
        <w:rPr>
          <w:bCs/>
          <w:spacing w:val="3"/>
          <w:shd w:val="clear" w:color="auto" w:fill="FFFFFF"/>
        </w:rPr>
        <w:t xml:space="preserve"> (</w:t>
      </w:r>
      <w:r w:rsidR="00720028">
        <w:rPr>
          <w:bCs/>
          <w:spacing w:val="3"/>
          <w:shd w:val="clear" w:color="auto" w:fill="FFFFFF"/>
        </w:rPr>
        <w:t>53,0</w:t>
      </w:r>
      <w:r>
        <w:rPr>
          <w:bCs/>
          <w:spacing w:val="3"/>
          <w:shd w:val="clear" w:color="auto" w:fill="FFFFFF"/>
        </w:rPr>
        <w:t xml:space="preserve">% до плану), що на </w:t>
      </w:r>
      <w:r w:rsidR="0038225A">
        <w:rPr>
          <w:bCs/>
          <w:spacing w:val="3"/>
          <w:shd w:val="clear" w:color="auto" w:fill="FFFFFF"/>
        </w:rPr>
        <w:t>12,7</w:t>
      </w:r>
      <w:r>
        <w:rPr>
          <w:bCs/>
          <w:spacing w:val="3"/>
          <w:shd w:val="clear" w:color="auto" w:fill="FFFFFF"/>
        </w:rPr>
        <w:t xml:space="preserve"> тис. грн. </w:t>
      </w:r>
      <w:r w:rsidR="006D65FC">
        <w:rPr>
          <w:bCs/>
          <w:spacing w:val="3"/>
          <w:shd w:val="clear" w:color="auto" w:fill="FFFFFF"/>
        </w:rPr>
        <w:t>мен</w:t>
      </w:r>
      <w:r>
        <w:rPr>
          <w:bCs/>
          <w:spacing w:val="3"/>
          <w:shd w:val="clear" w:color="auto" w:fill="FFFFFF"/>
        </w:rPr>
        <w:t xml:space="preserve">ше </w:t>
      </w:r>
      <w:r w:rsidR="00E25ED5">
        <w:rPr>
          <w:bCs/>
          <w:spacing w:val="3"/>
          <w:shd w:val="clear" w:color="auto" w:fill="FFFFFF"/>
        </w:rPr>
        <w:t>ніж за</w:t>
      </w:r>
      <w:r w:rsidR="004C2AFB">
        <w:rPr>
          <w:bCs/>
          <w:spacing w:val="3"/>
          <w:shd w:val="clear" w:color="auto" w:fill="FFFFFF"/>
        </w:rPr>
        <w:t xml:space="preserve"> аналогічний період</w:t>
      </w:r>
      <w:r w:rsidR="00E25ED5">
        <w:rPr>
          <w:bCs/>
          <w:spacing w:val="3"/>
          <w:shd w:val="clear" w:color="auto" w:fill="FFFFFF"/>
        </w:rPr>
        <w:t xml:space="preserve"> 202</w:t>
      </w:r>
      <w:r w:rsidR="006D65FC">
        <w:rPr>
          <w:bCs/>
          <w:spacing w:val="3"/>
          <w:shd w:val="clear" w:color="auto" w:fill="FFFFFF"/>
        </w:rPr>
        <w:t>3</w:t>
      </w:r>
      <w:r w:rsidR="00E25ED5">
        <w:rPr>
          <w:bCs/>
          <w:spacing w:val="3"/>
          <w:shd w:val="clear" w:color="auto" w:fill="FFFFFF"/>
        </w:rPr>
        <w:t xml:space="preserve"> р</w:t>
      </w:r>
      <w:r w:rsidR="004C2AFB">
        <w:rPr>
          <w:bCs/>
          <w:spacing w:val="3"/>
          <w:shd w:val="clear" w:color="auto" w:fill="FFFFFF"/>
        </w:rPr>
        <w:t>о</w:t>
      </w:r>
      <w:r w:rsidR="00E25ED5">
        <w:rPr>
          <w:bCs/>
          <w:spacing w:val="3"/>
          <w:shd w:val="clear" w:color="auto" w:fill="FFFFFF"/>
        </w:rPr>
        <w:t>к</w:t>
      </w:r>
      <w:r w:rsidR="004C2AFB">
        <w:rPr>
          <w:bCs/>
          <w:spacing w:val="3"/>
          <w:shd w:val="clear" w:color="auto" w:fill="FFFFFF"/>
        </w:rPr>
        <w:t>у (</w:t>
      </w:r>
      <w:r w:rsidR="006D65FC">
        <w:rPr>
          <w:bCs/>
          <w:spacing w:val="3"/>
          <w:shd w:val="clear" w:color="auto" w:fill="FFFFFF"/>
        </w:rPr>
        <w:t>-3</w:t>
      </w:r>
      <w:r w:rsidR="0038225A">
        <w:rPr>
          <w:bCs/>
          <w:spacing w:val="3"/>
          <w:shd w:val="clear" w:color="auto" w:fill="FFFFFF"/>
        </w:rPr>
        <w:t>9,9</w:t>
      </w:r>
      <w:r w:rsidR="006D65FC">
        <w:rPr>
          <w:bCs/>
          <w:spacing w:val="3"/>
          <w:shd w:val="clear" w:color="auto" w:fill="FFFFFF"/>
        </w:rPr>
        <w:t>%</w:t>
      </w:r>
      <w:r w:rsidR="004C2AFB">
        <w:rPr>
          <w:bCs/>
          <w:spacing w:val="3"/>
          <w:shd w:val="clear" w:color="auto" w:fill="FFFFFF"/>
        </w:rPr>
        <w:t>)</w:t>
      </w:r>
      <w:r w:rsidR="0038225A">
        <w:rPr>
          <w:bCs/>
          <w:spacing w:val="3"/>
          <w:shd w:val="clear" w:color="auto" w:fill="FFFFFF"/>
        </w:rPr>
        <w:t xml:space="preserve">; </w:t>
      </w:r>
      <w:r w:rsidR="002C372C" w:rsidRPr="00363501">
        <w:t xml:space="preserve">на поховання учасників бойових дій та осіб  з інвалідністю внаслідок війни </w:t>
      </w:r>
      <w:r w:rsidR="002C372C">
        <w:t>– 7,</w:t>
      </w:r>
      <w:r w:rsidR="00D95640">
        <w:t>5</w:t>
      </w:r>
      <w:r w:rsidR="002C372C" w:rsidRPr="00363501">
        <w:t xml:space="preserve"> тис. грн.</w:t>
      </w:r>
      <w:r w:rsidR="002C372C">
        <w:t xml:space="preserve"> (54,1% до плану), що на 8,</w:t>
      </w:r>
      <w:r w:rsidR="002C372C" w:rsidRPr="00A74000">
        <w:t>9</w:t>
      </w:r>
      <w:r w:rsidR="002C372C">
        <w:t xml:space="preserve"> тис. грн. менше ніж за січень-червень 2023 року або -54,3</w:t>
      </w:r>
      <w:r w:rsidR="002C372C" w:rsidRPr="00114311">
        <w:t>%</w:t>
      </w:r>
      <w:r w:rsidR="00114311" w:rsidRPr="00114311">
        <w:t>; на проведення санаторно-курортного оздоровлення окремих категорій громадян за рахунок коштів обласного бюджету</w:t>
      </w:r>
      <w:r w:rsidR="00114311">
        <w:t xml:space="preserve"> - 46,8 тис. грн. на 55,1% до плану, що на 31,9 тис. грн. більше ніж у першому півріччі 2023 року.</w:t>
      </w:r>
    </w:p>
    <w:p w:rsidR="00B009B6" w:rsidRPr="00114311" w:rsidRDefault="00B009B6" w:rsidP="00B009B6">
      <w:pPr>
        <w:ind w:firstLine="708"/>
        <w:jc w:val="both"/>
        <w:rPr>
          <w:bCs/>
          <w:spacing w:val="3"/>
          <w:shd w:val="clear" w:color="auto" w:fill="FFFFFF"/>
        </w:rPr>
      </w:pPr>
    </w:p>
    <w:p w:rsidR="00B009B6" w:rsidRDefault="00B009B6" w:rsidP="00B009B6">
      <w:pPr>
        <w:ind w:firstLine="708"/>
        <w:jc w:val="center"/>
        <w:rPr>
          <w:b/>
        </w:rPr>
      </w:pPr>
      <w:r w:rsidRPr="003A119D">
        <w:rPr>
          <w:b/>
        </w:rPr>
        <w:t>Культура і мистецтво</w:t>
      </w:r>
    </w:p>
    <w:p w:rsidR="00D5185A" w:rsidRPr="003A119D" w:rsidRDefault="00D5185A" w:rsidP="00B009B6">
      <w:pPr>
        <w:ind w:firstLine="708"/>
        <w:jc w:val="center"/>
        <w:rPr>
          <w:b/>
        </w:rPr>
      </w:pPr>
    </w:p>
    <w:p w:rsidR="00D5185A" w:rsidRDefault="00B009B6" w:rsidP="00B009B6">
      <w:pPr>
        <w:ind w:firstLine="708"/>
        <w:jc w:val="both"/>
      </w:pPr>
      <w:r w:rsidRPr="005160DD">
        <w:t xml:space="preserve">На </w:t>
      </w:r>
      <w:r w:rsidRPr="002007BF">
        <w:rPr>
          <w:b/>
        </w:rPr>
        <w:t>утримання галузі</w:t>
      </w:r>
      <w:r w:rsidRPr="005160DD">
        <w:t xml:space="preserve"> «Культура і мистецтво» </w:t>
      </w:r>
      <w:r w:rsidR="00813AA3">
        <w:t xml:space="preserve">частка видатків від загальної суми витрат звітного періоду складає </w:t>
      </w:r>
      <w:r w:rsidR="00114311">
        <w:rPr>
          <w:b/>
        </w:rPr>
        <w:t>4,5</w:t>
      </w:r>
      <w:r w:rsidR="00813AA3" w:rsidRPr="002007BF">
        <w:rPr>
          <w:b/>
        </w:rPr>
        <w:t>% в сумі</w:t>
      </w:r>
      <w:r w:rsidRPr="002007BF">
        <w:rPr>
          <w:b/>
        </w:rPr>
        <w:t xml:space="preserve"> </w:t>
      </w:r>
      <w:r w:rsidR="00114311" w:rsidRPr="00533B67">
        <w:rPr>
          <w:b/>
        </w:rPr>
        <w:t>6 14</w:t>
      </w:r>
      <w:r w:rsidR="00146A5C" w:rsidRPr="00533B67">
        <w:rPr>
          <w:b/>
          <w:lang w:val="ru-RU"/>
        </w:rPr>
        <w:t>4</w:t>
      </w:r>
      <w:r w:rsidR="00146A5C" w:rsidRPr="00533B67">
        <w:rPr>
          <w:b/>
        </w:rPr>
        <w:t>,4</w:t>
      </w:r>
      <w:r w:rsidR="0030367A" w:rsidRPr="002007BF">
        <w:rPr>
          <w:b/>
        </w:rPr>
        <w:t xml:space="preserve"> </w:t>
      </w:r>
      <w:r w:rsidRPr="002007BF">
        <w:rPr>
          <w:b/>
        </w:rPr>
        <w:t xml:space="preserve">тис. грн. </w:t>
      </w:r>
      <w:r w:rsidRPr="005160DD">
        <w:t>бюджетних</w:t>
      </w:r>
    </w:p>
    <w:p w:rsidR="00D5185A" w:rsidRDefault="00D5185A" w:rsidP="00B009B6">
      <w:pPr>
        <w:ind w:firstLine="708"/>
        <w:jc w:val="both"/>
      </w:pPr>
    </w:p>
    <w:p w:rsidR="0030367A" w:rsidRDefault="00B009B6" w:rsidP="00D5185A">
      <w:pPr>
        <w:jc w:val="both"/>
      </w:pPr>
      <w:r w:rsidRPr="005160DD">
        <w:t xml:space="preserve"> коштів</w:t>
      </w:r>
      <w:r w:rsidR="0030367A">
        <w:t>, з них:</w:t>
      </w:r>
    </w:p>
    <w:p w:rsidR="0030367A" w:rsidRDefault="0030367A" w:rsidP="00B009B6">
      <w:pPr>
        <w:ind w:firstLine="708"/>
        <w:jc w:val="both"/>
      </w:pPr>
      <w:r>
        <w:t xml:space="preserve"> видатки </w:t>
      </w:r>
      <w:r w:rsidR="00B009B6" w:rsidRPr="005160DD">
        <w:t xml:space="preserve"> </w:t>
      </w:r>
      <w:r>
        <w:t xml:space="preserve">загального фонду </w:t>
      </w:r>
      <w:r w:rsidRPr="00533B67">
        <w:t xml:space="preserve">– </w:t>
      </w:r>
      <w:r w:rsidR="00114311" w:rsidRPr="00533B67">
        <w:t>5 92</w:t>
      </w:r>
      <w:r w:rsidR="00146A5C" w:rsidRPr="00533B67">
        <w:t>6</w:t>
      </w:r>
      <w:r w:rsidR="00114311" w:rsidRPr="00533B67">
        <w:t>,</w:t>
      </w:r>
      <w:r w:rsidR="00146A5C" w:rsidRPr="00533B67">
        <w:t>5</w:t>
      </w:r>
      <w:r>
        <w:t xml:space="preserve"> тис. грн. </w:t>
      </w:r>
      <w:r w:rsidR="00B009B6" w:rsidRPr="005160DD">
        <w:t xml:space="preserve">або </w:t>
      </w:r>
      <w:r>
        <w:t>8</w:t>
      </w:r>
      <w:r w:rsidR="008F5B0B">
        <w:t>8,</w:t>
      </w:r>
      <w:r w:rsidR="00650F34" w:rsidRPr="00650F34">
        <w:t>0</w:t>
      </w:r>
      <w:r w:rsidR="00B009B6" w:rsidRPr="005160DD">
        <w:t xml:space="preserve"> % планових </w:t>
      </w:r>
      <w:r w:rsidR="00B009B6">
        <w:t>асигнувань, що</w:t>
      </w:r>
      <w:r w:rsidR="00B009B6" w:rsidRPr="005160DD">
        <w:t xml:space="preserve"> на </w:t>
      </w:r>
      <w:r w:rsidR="00650F34" w:rsidRPr="00650F34">
        <w:t>17,9</w:t>
      </w:r>
      <w:r w:rsidR="00B009B6" w:rsidRPr="005160DD">
        <w:t xml:space="preserve"> тис.</w:t>
      </w:r>
      <w:r w:rsidR="00F90B88">
        <w:t xml:space="preserve"> грн. </w:t>
      </w:r>
      <w:r w:rsidR="00256F16">
        <w:t xml:space="preserve">більше </w:t>
      </w:r>
      <w:r w:rsidR="00B009B6">
        <w:t xml:space="preserve">ніж </w:t>
      </w:r>
      <w:r w:rsidR="00D6690A">
        <w:t xml:space="preserve">за І </w:t>
      </w:r>
      <w:r w:rsidR="008F5B0B">
        <w:t>півріччя</w:t>
      </w:r>
      <w:r>
        <w:t xml:space="preserve"> </w:t>
      </w:r>
      <w:r w:rsidR="00B009B6">
        <w:t>202</w:t>
      </w:r>
      <w:r>
        <w:t>3</w:t>
      </w:r>
      <w:r w:rsidR="00B009B6" w:rsidRPr="005160DD">
        <w:t xml:space="preserve"> ро</w:t>
      </w:r>
      <w:r w:rsidR="00D6690A">
        <w:t>ку</w:t>
      </w:r>
      <w:r w:rsidR="003E709C">
        <w:t xml:space="preserve"> </w:t>
      </w:r>
      <w:r w:rsidR="008F5B0B">
        <w:t>або ріст фінансування складає 0,</w:t>
      </w:r>
      <w:r w:rsidR="00650F34" w:rsidRPr="00650F34">
        <w:t>3</w:t>
      </w:r>
      <w:r w:rsidR="00E256CF">
        <w:t>%</w:t>
      </w:r>
      <w:r>
        <w:t>;</w:t>
      </w:r>
    </w:p>
    <w:p w:rsidR="003E709C" w:rsidRDefault="0030367A" w:rsidP="00B009B6">
      <w:pPr>
        <w:ind w:firstLine="708"/>
        <w:jc w:val="both"/>
      </w:pPr>
      <w:r>
        <w:t xml:space="preserve">видатки спеціального фонду </w:t>
      </w:r>
      <w:r w:rsidR="008F5B0B">
        <w:t>–</w:t>
      </w:r>
      <w:r>
        <w:t xml:space="preserve"> </w:t>
      </w:r>
      <w:r w:rsidR="008F5B0B">
        <w:t>217,9</w:t>
      </w:r>
      <w:r>
        <w:t xml:space="preserve"> тис. грн., що на </w:t>
      </w:r>
      <w:r w:rsidR="008F5B0B">
        <w:t>53,3</w:t>
      </w:r>
      <w:r>
        <w:t xml:space="preserve"> тис. грн. </w:t>
      </w:r>
      <w:r w:rsidR="008F5B0B">
        <w:t>більше</w:t>
      </w:r>
      <w:r>
        <w:t xml:space="preserve"> </w:t>
      </w:r>
      <w:r w:rsidR="00005665">
        <w:t xml:space="preserve">ніж </w:t>
      </w:r>
      <w:r>
        <w:t>видатк</w:t>
      </w:r>
      <w:r w:rsidR="00005665">
        <w:t>и</w:t>
      </w:r>
      <w:r>
        <w:t xml:space="preserve"> за січень-</w:t>
      </w:r>
      <w:r w:rsidR="008F5B0B">
        <w:t>червень</w:t>
      </w:r>
      <w:r>
        <w:t xml:space="preserve"> попереднього року</w:t>
      </w:r>
      <w:r w:rsidR="008F5B0B">
        <w:t xml:space="preserve"> (+32,4%)</w:t>
      </w:r>
      <w:r>
        <w:t>.</w:t>
      </w:r>
      <w:r w:rsidR="00B009B6" w:rsidRPr="005160DD">
        <w:t xml:space="preserve"> </w:t>
      </w:r>
    </w:p>
    <w:p w:rsidR="00DF4896" w:rsidRDefault="00005665" w:rsidP="00B009B6">
      <w:pPr>
        <w:ind w:firstLine="708"/>
        <w:jc w:val="both"/>
      </w:pPr>
      <w:r>
        <w:t>З загальної суми витрат галузі</w:t>
      </w:r>
      <w:r w:rsidR="00B009B6">
        <w:t xml:space="preserve"> на</w:t>
      </w:r>
      <w:r w:rsidR="00DF4896">
        <w:t>:</w:t>
      </w:r>
    </w:p>
    <w:p w:rsidR="00B009B6" w:rsidRDefault="00DF4896" w:rsidP="00B009B6">
      <w:pPr>
        <w:ind w:firstLine="708"/>
        <w:jc w:val="both"/>
      </w:pPr>
      <w:r>
        <w:t>-</w:t>
      </w:r>
      <w:r w:rsidR="00B009B6">
        <w:t xml:space="preserve"> Програму </w:t>
      </w:r>
      <w:r w:rsidR="00D6690A" w:rsidRPr="00D6690A">
        <w:t>«Вшануймо людину» Диканської селищної територіальної громади на 2022-2024 роки</w:t>
      </w:r>
      <w:r w:rsidR="00B009B6">
        <w:t xml:space="preserve"> спрямовано </w:t>
      </w:r>
      <w:r>
        <w:t>65,5</w:t>
      </w:r>
      <w:r w:rsidR="006748F4">
        <w:t xml:space="preserve"> </w:t>
      </w:r>
      <w:r w:rsidR="00B009B6">
        <w:t>тис. грн.</w:t>
      </w:r>
      <w:r w:rsidR="003E709C">
        <w:t xml:space="preserve">, </w:t>
      </w:r>
      <w:r w:rsidR="00B009B6">
        <w:t xml:space="preserve">виконання </w:t>
      </w:r>
      <w:r w:rsidR="00CC47C1">
        <w:t>плану</w:t>
      </w:r>
      <w:r w:rsidR="003E709C">
        <w:t xml:space="preserve"> забезпечено на </w:t>
      </w:r>
      <w:r>
        <w:t>50,3</w:t>
      </w:r>
      <w:r w:rsidR="003E709C">
        <w:t>%</w:t>
      </w:r>
      <w:r w:rsidR="00B009B6">
        <w:t xml:space="preserve">, </w:t>
      </w:r>
      <w:r w:rsidR="00CE3A1D">
        <w:t xml:space="preserve">що на </w:t>
      </w:r>
      <w:r>
        <w:t>29,0</w:t>
      </w:r>
      <w:r w:rsidR="00CE3A1D">
        <w:t xml:space="preserve"> тис. грн. більше ніж </w:t>
      </w:r>
      <w:r w:rsidR="00B009B6">
        <w:t xml:space="preserve">за </w:t>
      </w:r>
      <w:r w:rsidR="00256F16">
        <w:t>січень-</w:t>
      </w:r>
      <w:r>
        <w:t>червень</w:t>
      </w:r>
      <w:r w:rsidR="00CE3A1D">
        <w:t xml:space="preserve"> 2023</w:t>
      </w:r>
      <w:r w:rsidR="00B009B6">
        <w:t xml:space="preserve"> року </w:t>
      </w:r>
      <w:r w:rsidR="00CE3A1D">
        <w:t xml:space="preserve">(більше </w:t>
      </w:r>
      <w:r>
        <w:t>у 1,7</w:t>
      </w:r>
      <w:r w:rsidR="00CE3A1D">
        <w:t xml:space="preserve"> рази)</w:t>
      </w:r>
      <w:r>
        <w:t>;</w:t>
      </w:r>
    </w:p>
    <w:p w:rsidR="00DF4896" w:rsidRDefault="002731FE" w:rsidP="00B009B6">
      <w:pPr>
        <w:ind w:firstLine="708"/>
        <w:jc w:val="both"/>
      </w:pPr>
      <w:r>
        <w:t>- Програму розвитку культури та туризму на 2024-2025 роки – 4,5 тис. грн. або на 15,0 % до уточнених планових показників.</w:t>
      </w:r>
    </w:p>
    <w:p w:rsidR="00B009B6" w:rsidRPr="005160DD" w:rsidRDefault="00B009B6" w:rsidP="00B009B6">
      <w:pPr>
        <w:ind w:left="1428"/>
        <w:jc w:val="both"/>
      </w:pPr>
    </w:p>
    <w:p w:rsidR="00B009B6" w:rsidRPr="003A119D" w:rsidRDefault="00B009B6" w:rsidP="00B009B6">
      <w:pPr>
        <w:ind w:firstLine="708"/>
        <w:jc w:val="center"/>
        <w:rPr>
          <w:b/>
        </w:rPr>
      </w:pPr>
      <w:r w:rsidRPr="003A119D">
        <w:rPr>
          <w:b/>
        </w:rPr>
        <w:t>Фізична культура і спорт</w:t>
      </w:r>
    </w:p>
    <w:p w:rsidR="00B009B6" w:rsidRPr="005160DD" w:rsidRDefault="00B009B6" w:rsidP="00B009B6">
      <w:pPr>
        <w:ind w:firstLine="708"/>
        <w:jc w:val="center"/>
        <w:rPr>
          <w:b/>
          <w:u w:val="single"/>
        </w:rPr>
      </w:pPr>
    </w:p>
    <w:p w:rsidR="00813AA3" w:rsidRPr="00212D73" w:rsidRDefault="00813AA3" w:rsidP="00813AA3">
      <w:pPr>
        <w:ind w:firstLine="708"/>
        <w:jc w:val="both"/>
      </w:pPr>
      <w:r w:rsidRPr="002007BF">
        <w:rPr>
          <w:b/>
        </w:rPr>
        <w:t>Частка видатків</w:t>
      </w:r>
      <w:r>
        <w:t xml:space="preserve"> на галузь від загальної суми витрат звітного періоду –</w:t>
      </w:r>
      <w:r w:rsidRPr="002007BF">
        <w:rPr>
          <w:b/>
        </w:rPr>
        <w:t>0,7%.</w:t>
      </w:r>
    </w:p>
    <w:p w:rsidR="00005665" w:rsidRDefault="00B009B6" w:rsidP="00B009B6">
      <w:pPr>
        <w:ind w:firstLine="708"/>
        <w:jc w:val="both"/>
      </w:pPr>
      <w:r w:rsidRPr="005160DD">
        <w:t>Заклади та заходи з фізичної культури і спорту</w:t>
      </w:r>
      <w:r w:rsidR="002402FD">
        <w:t xml:space="preserve"> </w:t>
      </w:r>
      <w:r w:rsidR="002402FD" w:rsidRPr="005160DD">
        <w:t>профінансовані</w:t>
      </w:r>
      <w:r w:rsidR="002402FD">
        <w:t xml:space="preserve"> в сумі</w:t>
      </w:r>
      <w:r w:rsidRPr="005160DD">
        <w:t xml:space="preserve"> </w:t>
      </w:r>
      <w:r w:rsidR="002402FD" w:rsidRPr="00E0515D">
        <w:rPr>
          <w:b/>
        </w:rPr>
        <w:t>961,7 тис. грн.,</w:t>
      </w:r>
      <w:r w:rsidR="002402FD">
        <w:t xml:space="preserve"> з них з загального фонду бюджету </w:t>
      </w:r>
      <w:r>
        <w:t xml:space="preserve">при планових асигнуваннях </w:t>
      </w:r>
      <w:r w:rsidR="002402FD">
        <w:t>1 102,0</w:t>
      </w:r>
      <w:r>
        <w:t xml:space="preserve"> тис. грн. </w:t>
      </w:r>
      <w:r w:rsidR="002402FD">
        <w:t>освоєно</w:t>
      </w:r>
      <w:r w:rsidRPr="005160DD">
        <w:t xml:space="preserve"> </w:t>
      </w:r>
      <w:r w:rsidR="002402FD" w:rsidRPr="00E0515D">
        <w:t>946,3</w:t>
      </w:r>
      <w:r w:rsidR="002B2D06" w:rsidRPr="00E0515D">
        <w:t xml:space="preserve"> </w:t>
      </w:r>
      <w:r w:rsidRPr="00E0515D">
        <w:t>тис. грн.</w:t>
      </w:r>
      <w:r>
        <w:t xml:space="preserve"> </w:t>
      </w:r>
      <w:r w:rsidR="002B2D06">
        <w:t xml:space="preserve">або на </w:t>
      </w:r>
      <w:r w:rsidR="002402FD">
        <w:t>85,9</w:t>
      </w:r>
      <w:r>
        <w:t>% до плану</w:t>
      </w:r>
      <w:r w:rsidR="00D23224">
        <w:t xml:space="preserve">, що </w:t>
      </w:r>
      <w:r w:rsidRPr="005160DD">
        <w:t xml:space="preserve">на </w:t>
      </w:r>
      <w:r w:rsidR="002402FD">
        <w:t>86,3</w:t>
      </w:r>
      <w:r w:rsidRPr="005160DD">
        <w:t xml:space="preserve"> тис. грн. </w:t>
      </w:r>
      <w:r w:rsidR="002B2D06">
        <w:t>більше</w:t>
      </w:r>
      <w:r>
        <w:t xml:space="preserve"> </w:t>
      </w:r>
      <w:r w:rsidRPr="005160DD">
        <w:t xml:space="preserve">ніж за </w:t>
      </w:r>
      <w:r w:rsidR="00D548C1">
        <w:t>відповідний період 202</w:t>
      </w:r>
      <w:r w:rsidR="002B2D06">
        <w:t>3</w:t>
      </w:r>
      <w:r w:rsidR="00D548C1">
        <w:t xml:space="preserve"> року</w:t>
      </w:r>
      <w:r w:rsidR="002B2D06">
        <w:t xml:space="preserve">, ріст на </w:t>
      </w:r>
      <w:r w:rsidR="002402FD">
        <w:t>10</w:t>
      </w:r>
      <w:r w:rsidR="002B2D06">
        <w:t>%</w:t>
      </w:r>
      <w:r w:rsidR="002402FD">
        <w:t>; з спеціального фонду видатки проведені в сумі 15,4 тис. грн</w:t>
      </w:r>
      <w:r w:rsidR="00E0515D">
        <w:t>.</w:t>
      </w:r>
      <w:r w:rsidR="002402FD">
        <w:t xml:space="preserve"> на 77,0% до плану.</w:t>
      </w:r>
    </w:p>
    <w:p w:rsidR="00B009B6" w:rsidRDefault="00DA1355" w:rsidP="00B009B6">
      <w:pPr>
        <w:ind w:firstLine="708"/>
        <w:jc w:val="both"/>
      </w:pPr>
      <w:r>
        <w:t>В тому числі</w:t>
      </w:r>
      <w:r w:rsidR="00484556">
        <w:t xml:space="preserve"> </w:t>
      </w:r>
      <w:r w:rsidR="00E0515D">
        <w:t xml:space="preserve">спрямовані </w:t>
      </w:r>
      <w:r w:rsidR="00484556">
        <w:t xml:space="preserve">видатки на </w:t>
      </w:r>
      <w:r w:rsidR="00EB4840" w:rsidRPr="00EB4840">
        <w:t>Програм</w:t>
      </w:r>
      <w:r w:rsidR="00EB4840">
        <w:t>у</w:t>
      </w:r>
      <w:r w:rsidR="00EB4840" w:rsidRPr="00EB4840">
        <w:t xml:space="preserve"> розвитку фізичної культури і спорту Диканської селищної громади на 2022-2024 роки</w:t>
      </w:r>
      <w:r w:rsidR="00E0515D">
        <w:t xml:space="preserve">, які </w:t>
      </w:r>
      <w:r w:rsidR="00484556">
        <w:t xml:space="preserve"> </w:t>
      </w:r>
      <w:r w:rsidR="00212D73">
        <w:t xml:space="preserve">профінансовані </w:t>
      </w:r>
      <w:r w:rsidR="00B93C04">
        <w:t xml:space="preserve">на </w:t>
      </w:r>
      <w:r w:rsidR="002402FD">
        <w:t>78,6</w:t>
      </w:r>
      <w:r w:rsidR="00B93C04">
        <w:t xml:space="preserve">% до планових призначень </w:t>
      </w:r>
      <w:r w:rsidR="00484556">
        <w:t xml:space="preserve">в сумі </w:t>
      </w:r>
      <w:r w:rsidR="002402FD">
        <w:rPr>
          <w:lang w:val="ru-RU"/>
        </w:rPr>
        <w:t>84,6</w:t>
      </w:r>
      <w:r w:rsidR="00484556">
        <w:t xml:space="preserve"> тис. грн.</w:t>
      </w:r>
      <w:r w:rsidR="00B93C04">
        <w:t xml:space="preserve">, з них </w:t>
      </w:r>
      <w:r w:rsidR="00005665">
        <w:t xml:space="preserve">кошти використані </w:t>
      </w:r>
      <w:r w:rsidR="00B93C04">
        <w:t xml:space="preserve">на </w:t>
      </w:r>
      <w:r w:rsidR="00717DAF">
        <w:t>перевезення учасників змагань</w:t>
      </w:r>
      <w:r w:rsidR="00B93C04">
        <w:t xml:space="preserve"> – </w:t>
      </w:r>
      <w:r w:rsidR="00711E2E">
        <w:t>65,1</w:t>
      </w:r>
      <w:r w:rsidR="00B93C04">
        <w:t xml:space="preserve"> тис. грн., на придбання к</w:t>
      </w:r>
      <w:r w:rsidR="00B93C04" w:rsidRPr="00B93C04">
        <w:t>убк</w:t>
      </w:r>
      <w:r w:rsidR="00B93C04">
        <w:t>ів</w:t>
      </w:r>
      <w:r w:rsidR="00B93C04" w:rsidRPr="00B93C04">
        <w:t>, медал</w:t>
      </w:r>
      <w:r w:rsidR="00B93C04">
        <w:t>ей</w:t>
      </w:r>
      <w:r w:rsidR="00B93C04" w:rsidRPr="00B93C04">
        <w:t xml:space="preserve">, </w:t>
      </w:r>
      <w:r w:rsidR="00B93C04" w:rsidRPr="00B93C04">
        <w:lastRenderedPageBreak/>
        <w:t>грамот для відзначення переможців</w:t>
      </w:r>
      <w:r w:rsidR="00B93C04">
        <w:t xml:space="preserve"> – </w:t>
      </w:r>
      <w:r w:rsidR="00711E2E">
        <w:t>19,5</w:t>
      </w:r>
      <w:r w:rsidR="00B93C04">
        <w:t xml:space="preserve"> тис. грн.</w:t>
      </w:r>
      <w:r w:rsidR="00005665">
        <w:t xml:space="preserve"> До видатків за аналогічний період минулого року спостерігаємо ріст </w:t>
      </w:r>
      <w:r w:rsidR="00FF1250">
        <w:t xml:space="preserve">витрат на Програму у </w:t>
      </w:r>
      <w:r w:rsidR="00711E2E">
        <w:t>2</w:t>
      </w:r>
      <w:r w:rsidR="00FF1250">
        <w:t xml:space="preserve"> рази або більше на 4</w:t>
      </w:r>
      <w:r w:rsidR="00711E2E">
        <w:t>3,3</w:t>
      </w:r>
      <w:r w:rsidR="00FF1250">
        <w:t xml:space="preserve"> тис. грн.</w:t>
      </w:r>
    </w:p>
    <w:p w:rsidR="00B009B6" w:rsidRPr="00A83EB4" w:rsidRDefault="00A83EB4" w:rsidP="00A83EB4">
      <w:pPr>
        <w:ind w:firstLine="708"/>
        <w:jc w:val="both"/>
      </w:pPr>
      <w:r>
        <w:t xml:space="preserve">В тому числі </w:t>
      </w:r>
      <w:r w:rsidR="00E0515D">
        <w:t xml:space="preserve">на 50,0% до плану </w:t>
      </w:r>
      <w:r>
        <w:t>освоєно с</w:t>
      </w:r>
      <w:r w:rsidR="005A00B4" w:rsidRPr="00A83EB4">
        <w:t>убвенці</w:t>
      </w:r>
      <w:r w:rsidR="00E0515D">
        <w:t>ю</w:t>
      </w:r>
      <w:r w:rsidR="005A00B4" w:rsidRPr="00A83EB4">
        <w:t xml:space="preserve">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</w:t>
      </w:r>
      <w:r>
        <w:t xml:space="preserve"> в сумі 10,4 тис. грн. </w:t>
      </w:r>
      <w:r w:rsidR="00E0515D">
        <w:t>для виплати</w:t>
      </w:r>
      <w:r>
        <w:t xml:space="preserve"> заробітної плати.</w:t>
      </w:r>
    </w:p>
    <w:p w:rsidR="005A00B4" w:rsidRPr="00A83EB4" w:rsidRDefault="005A00B4" w:rsidP="00A83EB4">
      <w:pPr>
        <w:ind w:firstLine="708"/>
        <w:jc w:val="both"/>
      </w:pPr>
    </w:p>
    <w:p w:rsidR="00B009B6" w:rsidRPr="002E61DE" w:rsidRDefault="00B009B6" w:rsidP="00B009B6">
      <w:pPr>
        <w:ind w:firstLine="708"/>
        <w:jc w:val="center"/>
        <w:rPr>
          <w:b/>
          <w:lang w:val="ru-RU"/>
        </w:rPr>
      </w:pPr>
      <w:r w:rsidRPr="00BF04F0">
        <w:rPr>
          <w:b/>
        </w:rPr>
        <w:t>Житлово-комунальне</w:t>
      </w:r>
      <w:r w:rsidRPr="00B93C04">
        <w:rPr>
          <w:b/>
        </w:rPr>
        <w:t xml:space="preserve"> господарство</w:t>
      </w:r>
    </w:p>
    <w:p w:rsidR="00B009B6" w:rsidRPr="003A119D" w:rsidRDefault="00B009B6" w:rsidP="00B009B6">
      <w:pPr>
        <w:ind w:firstLine="708"/>
        <w:jc w:val="center"/>
        <w:rPr>
          <w:b/>
        </w:rPr>
      </w:pPr>
    </w:p>
    <w:p w:rsidR="00DB6604" w:rsidRDefault="00B009B6" w:rsidP="00B009B6">
      <w:pPr>
        <w:ind w:firstLine="708"/>
        <w:jc w:val="both"/>
        <w:rPr>
          <w:lang w:val="ru-RU"/>
        </w:rPr>
      </w:pPr>
      <w:r w:rsidRPr="005160DD">
        <w:t>На утримання житлово-комунального господарства</w:t>
      </w:r>
      <w:r w:rsidR="00801B3F">
        <w:t xml:space="preserve"> </w:t>
      </w:r>
      <w:r w:rsidR="00801B3F" w:rsidRPr="00E23550">
        <w:rPr>
          <w:b/>
        </w:rPr>
        <w:t xml:space="preserve">спрямовано </w:t>
      </w:r>
      <w:r w:rsidR="003D690A">
        <w:rPr>
          <w:b/>
        </w:rPr>
        <w:t>9,3</w:t>
      </w:r>
      <w:r w:rsidR="00801B3F" w:rsidRPr="00E23550">
        <w:rPr>
          <w:b/>
        </w:rPr>
        <w:t>%</w:t>
      </w:r>
      <w:r w:rsidR="00801B3F">
        <w:t xml:space="preserve"> від видатків місцевого бюджету</w:t>
      </w:r>
      <w:r w:rsidR="00DB6604">
        <w:rPr>
          <w:lang w:val="ru-RU"/>
        </w:rPr>
        <w:t xml:space="preserve"> в </w:t>
      </w:r>
      <w:proofErr w:type="spellStart"/>
      <w:r w:rsidR="00DB6604" w:rsidRPr="00E23550">
        <w:rPr>
          <w:b/>
          <w:lang w:val="ru-RU"/>
        </w:rPr>
        <w:t>сум</w:t>
      </w:r>
      <w:proofErr w:type="spellEnd"/>
      <w:r w:rsidR="00DB6604" w:rsidRPr="00E23550">
        <w:rPr>
          <w:b/>
        </w:rPr>
        <w:t>і</w:t>
      </w:r>
      <w:r w:rsidR="00DB6604" w:rsidRPr="00E23550">
        <w:rPr>
          <w:b/>
          <w:lang w:val="ru-RU"/>
        </w:rPr>
        <w:t xml:space="preserve"> </w:t>
      </w:r>
      <w:r w:rsidR="003D690A">
        <w:rPr>
          <w:b/>
          <w:lang w:val="ru-RU"/>
        </w:rPr>
        <w:t>12 572,4</w:t>
      </w:r>
      <w:r w:rsidR="00DB6604" w:rsidRPr="00E23550">
        <w:rPr>
          <w:b/>
          <w:lang w:val="ru-RU"/>
        </w:rPr>
        <w:t xml:space="preserve"> тис. грн.</w:t>
      </w:r>
      <w:r w:rsidR="00DB6604">
        <w:rPr>
          <w:lang w:val="ru-RU"/>
        </w:rPr>
        <w:t>, з них:</w:t>
      </w:r>
    </w:p>
    <w:p w:rsidR="00DB6604" w:rsidRDefault="00DB6604" w:rsidP="00B009B6">
      <w:pPr>
        <w:ind w:firstLine="708"/>
        <w:jc w:val="both"/>
      </w:pPr>
      <w:r>
        <w:rPr>
          <w:lang w:val="ru-RU"/>
        </w:rPr>
        <w:t xml:space="preserve">по </w:t>
      </w:r>
      <w:proofErr w:type="spellStart"/>
      <w:r w:rsidRPr="00E23550">
        <w:rPr>
          <w:b/>
          <w:lang w:val="ru-RU"/>
        </w:rPr>
        <w:t>загальному</w:t>
      </w:r>
      <w:proofErr w:type="spellEnd"/>
      <w:r w:rsidRPr="00E23550">
        <w:rPr>
          <w:b/>
          <w:lang w:val="ru-RU"/>
        </w:rPr>
        <w:t xml:space="preserve"> фонду</w:t>
      </w:r>
      <w:r>
        <w:rPr>
          <w:lang w:val="ru-RU"/>
        </w:rPr>
        <w:t xml:space="preserve"> п</w:t>
      </w:r>
      <w:proofErr w:type="spellStart"/>
      <w:r w:rsidR="00B009B6">
        <w:t>ри</w:t>
      </w:r>
      <w:proofErr w:type="spellEnd"/>
      <w:r w:rsidR="00B009B6">
        <w:t xml:space="preserve"> планових асигнуваннях </w:t>
      </w:r>
      <w:r w:rsidR="000D7712">
        <w:rPr>
          <w:lang w:val="ru-RU"/>
        </w:rPr>
        <w:t>11 444,4</w:t>
      </w:r>
      <w:r w:rsidR="00ED6F49">
        <w:rPr>
          <w:lang w:val="ru-RU"/>
        </w:rPr>
        <w:t xml:space="preserve"> </w:t>
      </w:r>
      <w:r w:rsidR="00801B3F">
        <w:t xml:space="preserve">тис. грн. </w:t>
      </w:r>
      <w:r w:rsidR="00B009B6">
        <w:t xml:space="preserve"> </w:t>
      </w:r>
      <w:r w:rsidR="00B009B6" w:rsidRPr="005160DD">
        <w:t xml:space="preserve">направлено </w:t>
      </w:r>
      <w:r w:rsidR="000D7712">
        <w:rPr>
          <w:b/>
          <w:lang w:val="ru-RU"/>
        </w:rPr>
        <w:t>9 693,2</w:t>
      </w:r>
      <w:r w:rsidR="00B009B6" w:rsidRPr="00E23550">
        <w:rPr>
          <w:b/>
        </w:rPr>
        <w:t xml:space="preserve"> тис. грн. або </w:t>
      </w:r>
      <w:r w:rsidR="000D7712">
        <w:rPr>
          <w:b/>
        </w:rPr>
        <w:t>8</w:t>
      </w:r>
      <w:r w:rsidR="003D690A">
        <w:rPr>
          <w:b/>
        </w:rPr>
        <w:t>4,</w:t>
      </w:r>
      <w:r w:rsidR="000D7712">
        <w:rPr>
          <w:b/>
        </w:rPr>
        <w:t>7</w:t>
      </w:r>
      <w:r w:rsidR="00B009B6" w:rsidRPr="00E23550">
        <w:rPr>
          <w:b/>
        </w:rPr>
        <w:t>% до плану</w:t>
      </w:r>
      <w:r w:rsidR="00B009B6" w:rsidRPr="005160DD">
        <w:t xml:space="preserve">, що на </w:t>
      </w:r>
      <w:r w:rsidR="000D7712">
        <w:t xml:space="preserve">259,7 </w:t>
      </w:r>
      <w:r w:rsidR="00B009B6" w:rsidRPr="005160DD">
        <w:t xml:space="preserve">тис. грн. </w:t>
      </w:r>
      <w:r w:rsidR="003D690A">
        <w:t>менше</w:t>
      </w:r>
      <w:r w:rsidR="00B009B6">
        <w:t xml:space="preserve"> </w:t>
      </w:r>
      <w:r w:rsidR="00B009B6" w:rsidRPr="005160DD">
        <w:t xml:space="preserve">ніж </w:t>
      </w:r>
      <w:r w:rsidR="00ED6F49">
        <w:t xml:space="preserve">за </w:t>
      </w:r>
      <w:r w:rsidR="003D690A">
        <w:t>січень-червень</w:t>
      </w:r>
      <w:r w:rsidR="009D7795">
        <w:t xml:space="preserve"> </w:t>
      </w:r>
      <w:r w:rsidR="00B009B6">
        <w:t>202</w:t>
      </w:r>
      <w:r>
        <w:t>3</w:t>
      </w:r>
      <w:r w:rsidR="00B009B6" w:rsidRPr="005160DD">
        <w:t xml:space="preserve"> р</w:t>
      </w:r>
      <w:r w:rsidR="002B442C">
        <w:t>оку</w:t>
      </w:r>
      <w:r w:rsidR="00744462">
        <w:t xml:space="preserve"> (</w:t>
      </w:r>
      <w:r w:rsidR="003D690A">
        <w:t>-</w:t>
      </w:r>
      <w:r w:rsidR="000D7712">
        <w:t>2</w:t>
      </w:r>
      <w:r w:rsidR="003D690A">
        <w:t>,6</w:t>
      </w:r>
      <w:r>
        <w:t>%</w:t>
      </w:r>
      <w:r w:rsidR="00801B3F">
        <w:t>)</w:t>
      </w:r>
      <w:r>
        <w:t>;</w:t>
      </w:r>
    </w:p>
    <w:p w:rsidR="00467221" w:rsidRDefault="00DB6604" w:rsidP="00B009B6">
      <w:pPr>
        <w:ind w:firstLine="708"/>
        <w:jc w:val="both"/>
      </w:pPr>
      <w:r>
        <w:t xml:space="preserve">по </w:t>
      </w:r>
      <w:r w:rsidRPr="00E23550">
        <w:rPr>
          <w:b/>
        </w:rPr>
        <w:t>спеціальному фонду</w:t>
      </w:r>
      <w:r>
        <w:t xml:space="preserve"> використані кошти на</w:t>
      </w:r>
      <w:r w:rsidR="00E23550">
        <w:t xml:space="preserve"> </w:t>
      </w:r>
      <w:r>
        <w:t>9</w:t>
      </w:r>
      <w:r w:rsidR="000D7712">
        <w:t>4</w:t>
      </w:r>
      <w:r>
        <w:t xml:space="preserve">,4% від плану в сумі </w:t>
      </w:r>
      <w:r w:rsidR="000D7712">
        <w:t xml:space="preserve">          </w:t>
      </w:r>
      <w:r w:rsidR="000D7712">
        <w:rPr>
          <w:b/>
        </w:rPr>
        <w:t>2 879,2</w:t>
      </w:r>
      <w:r w:rsidRPr="00E23550">
        <w:rPr>
          <w:b/>
        </w:rPr>
        <w:t xml:space="preserve"> тис. грн</w:t>
      </w:r>
      <w:r w:rsidR="00E23550" w:rsidRPr="00E23550">
        <w:rPr>
          <w:b/>
        </w:rPr>
        <w:t>.</w:t>
      </w:r>
      <w:r w:rsidR="00B009B6">
        <w:t xml:space="preserve">, з </w:t>
      </w:r>
      <w:r w:rsidR="00B009B6" w:rsidRPr="008619BE">
        <w:t xml:space="preserve">них </w:t>
      </w:r>
      <w:r w:rsidR="00E23550" w:rsidRPr="00E23550">
        <w:rPr>
          <w:b/>
        </w:rPr>
        <w:t xml:space="preserve">кошти бюджету розвитку – </w:t>
      </w:r>
      <w:r w:rsidR="000D7712">
        <w:rPr>
          <w:b/>
        </w:rPr>
        <w:t>2 826,5</w:t>
      </w:r>
      <w:r w:rsidR="00E23550" w:rsidRPr="00E23550">
        <w:rPr>
          <w:b/>
        </w:rPr>
        <w:t xml:space="preserve"> тис. грн</w:t>
      </w:r>
      <w:r w:rsidR="00E23550">
        <w:t xml:space="preserve">. В порівнянні до </w:t>
      </w:r>
      <w:r w:rsidR="00E0515D">
        <w:t>І півріччя</w:t>
      </w:r>
      <w:r w:rsidR="00E23550">
        <w:t xml:space="preserve"> 2023 р</w:t>
      </w:r>
      <w:r w:rsidR="00E0515D">
        <w:t>о</w:t>
      </w:r>
      <w:r w:rsidR="00E23550">
        <w:t>к</w:t>
      </w:r>
      <w:r w:rsidR="00E0515D">
        <w:t>у</w:t>
      </w:r>
      <w:r w:rsidR="00E23550">
        <w:t xml:space="preserve"> цьогорічні видатки менші на </w:t>
      </w:r>
      <w:r w:rsidR="000D7712">
        <w:t>1 540,1</w:t>
      </w:r>
      <w:r w:rsidR="00E23550">
        <w:t xml:space="preserve"> тис. грн. або -</w:t>
      </w:r>
      <w:r w:rsidR="000D7712">
        <w:t>34,8</w:t>
      </w:r>
      <w:r w:rsidR="00E23550">
        <w:t xml:space="preserve">%. </w:t>
      </w:r>
    </w:p>
    <w:p w:rsidR="00B009B6" w:rsidRDefault="00467221" w:rsidP="00B009B6">
      <w:pPr>
        <w:ind w:firstLine="708"/>
        <w:jc w:val="both"/>
      </w:pPr>
      <w:r>
        <w:t>Видатки галузі спрямовані</w:t>
      </w:r>
      <w:r w:rsidR="00DD6E44">
        <w:t>:</w:t>
      </w:r>
    </w:p>
    <w:p w:rsidR="004908E2" w:rsidRDefault="00B009B6" w:rsidP="00B009B6">
      <w:pPr>
        <w:ind w:firstLine="708"/>
        <w:jc w:val="both"/>
      </w:pPr>
      <w:r>
        <w:t xml:space="preserve">- </w:t>
      </w:r>
      <w:r w:rsidR="00DD6E44">
        <w:t xml:space="preserve">на </w:t>
      </w:r>
      <w:r>
        <w:t xml:space="preserve">Програму </w:t>
      </w:r>
      <w:r w:rsidRPr="002E2399">
        <w:t>благоустр</w:t>
      </w:r>
      <w:r>
        <w:t>ою</w:t>
      </w:r>
      <w:r w:rsidRPr="002E2399">
        <w:t xml:space="preserve"> населених пунктів</w:t>
      </w:r>
      <w:r>
        <w:t xml:space="preserve"> Диканської селищної територіальної громади – </w:t>
      </w:r>
      <w:r w:rsidR="004A2236">
        <w:t>9 640,8</w:t>
      </w:r>
      <w:r>
        <w:t xml:space="preserve"> тис. грн</w:t>
      </w:r>
      <w:r w:rsidR="00775321">
        <w:t>.</w:t>
      </w:r>
      <w:r w:rsidR="003E7E40">
        <w:t>, з них</w:t>
      </w:r>
      <w:r w:rsidR="00320FC1">
        <w:t xml:space="preserve"> з загального фонду</w:t>
      </w:r>
      <w:r w:rsidR="007753C9">
        <w:t xml:space="preserve"> профінансовані видатки на </w:t>
      </w:r>
      <w:r w:rsidR="008D52F0">
        <w:t>86,2</w:t>
      </w:r>
      <w:r w:rsidR="007753C9">
        <w:t xml:space="preserve">% до планових показників в сумі </w:t>
      </w:r>
      <w:r w:rsidR="008D52F0">
        <w:t>7 124,9</w:t>
      </w:r>
      <w:r w:rsidR="007753C9">
        <w:t xml:space="preserve"> тис. грн. (ріст до 1 </w:t>
      </w:r>
      <w:r w:rsidR="008D52F0">
        <w:t>півріччя</w:t>
      </w:r>
      <w:r w:rsidR="007753C9">
        <w:t xml:space="preserve"> 20223 року </w:t>
      </w:r>
      <w:r w:rsidR="008D52F0">
        <w:t>складає 7,3</w:t>
      </w:r>
      <w:r w:rsidR="007753C9">
        <w:t xml:space="preserve">% або більше на </w:t>
      </w:r>
      <w:r w:rsidR="008D52F0">
        <w:t>484,0</w:t>
      </w:r>
      <w:r w:rsidR="00C7352D">
        <w:t xml:space="preserve"> </w:t>
      </w:r>
      <w:r w:rsidR="006C7E02">
        <w:t>тис. грн.</w:t>
      </w:r>
      <w:r w:rsidR="008D52F0">
        <w:t>)</w:t>
      </w:r>
      <w:r w:rsidR="006C7E02">
        <w:t xml:space="preserve">, з спеціального – </w:t>
      </w:r>
      <w:r w:rsidR="008D52F0">
        <w:t>2 515,9</w:t>
      </w:r>
      <w:r w:rsidR="006C7E02">
        <w:t xml:space="preserve"> </w:t>
      </w:r>
      <w:r w:rsidR="00C7352D">
        <w:t>тис. грн.</w:t>
      </w:r>
      <w:r w:rsidR="008D52F0">
        <w:t>, в тому числі</w:t>
      </w:r>
      <w:r w:rsidR="00775321">
        <w:t xml:space="preserve"> кошти</w:t>
      </w:r>
      <w:r w:rsidR="008D52F0">
        <w:t xml:space="preserve"> </w:t>
      </w:r>
      <w:r w:rsidR="008D52F0" w:rsidRPr="00775321">
        <w:rPr>
          <w:b/>
        </w:rPr>
        <w:t>бюджету розвитку – 2 463,0 тис. грн.</w:t>
      </w:r>
      <w:r w:rsidR="00775321">
        <w:rPr>
          <w:b/>
        </w:rPr>
        <w:t xml:space="preserve"> </w:t>
      </w:r>
      <w:r w:rsidR="00775321" w:rsidRPr="00775321">
        <w:t xml:space="preserve">За рахунок </w:t>
      </w:r>
      <w:r w:rsidR="00775321">
        <w:t xml:space="preserve">видатків з бюджету  розвитку </w:t>
      </w:r>
      <w:r w:rsidR="008D52F0" w:rsidRPr="00775321">
        <w:t>придбано</w:t>
      </w:r>
      <w:r w:rsidR="004908E2">
        <w:t>:</w:t>
      </w:r>
    </w:p>
    <w:p w:rsidR="004908E2" w:rsidRDefault="00935319" w:rsidP="00935319">
      <w:pPr>
        <w:pStyle w:val="af3"/>
        <w:numPr>
          <w:ilvl w:val="0"/>
          <w:numId w:val="19"/>
        </w:numPr>
        <w:jc w:val="both"/>
      </w:pPr>
      <w:r>
        <w:t xml:space="preserve">два поворотних </w:t>
      </w:r>
      <w:r w:rsidR="004908E2">
        <w:t>подрібнювач</w:t>
      </w:r>
      <w:r>
        <w:t>а</w:t>
      </w:r>
      <w:r w:rsidR="004908E2">
        <w:t xml:space="preserve"> гілок</w:t>
      </w:r>
      <w:r>
        <w:t xml:space="preserve"> </w:t>
      </w:r>
      <w:r w:rsidRPr="00935319">
        <w:t xml:space="preserve">М-120ТР-К </w:t>
      </w:r>
      <w:r w:rsidR="004908E2">
        <w:t>– 297,6 тис. грн.;</w:t>
      </w:r>
    </w:p>
    <w:p w:rsidR="004908E2" w:rsidRDefault="004908E2" w:rsidP="004908E2">
      <w:pPr>
        <w:pStyle w:val="af3"/>
        <w:numPr>
          <w:ilvl w:val="0"/>
          <w:numId w:val="19"/>
        </w:numPr>
        <w:jc w:val="both"/>
      </w:pPr>
      <w:proofErr w:type="spellStart"/>
      <w:r>
        <w:t>висоторіз</w:t>
      </w:r>
      <w:proofErr w:type="spellEnd"/>
      <w:r>
        <w:t xml:space="preserve"> – 32,0 тис. грн.</w:t>
      </w:r>
      <w:r w:rsidR="007574F4">
        <w:t>;</w:t>
      </w:r>
    </w:p>
    <w:p w:rsidR="00B009B6" w:rsidRDefault="00935319" w:rsidP="00935319">
      <w:pPr>
        <w:pStyle w:val="af3"/>
        <w:numPr>
          <w:ilvl w:val="0"/>
          <w:numId w:val="19"/>
        </w:numPr>
        <w:jc w:val="both"/>
      </w:pPr>
      <w:r>
        <w:t>к</w:t>
      </w:r>
      <w:r w:rsidRPr="00935319">
        <w:t xml:space="preserve">олісний трактор </w:t>
      </w:r>
      <w:proofErr w:type="spellStart"/>
      <w:r w:rsidRPr="00935319">
        <w:t>Mahindra</w:t>
      </w:r>
      <w:proofErr w:type="spellEnd"/>
      <w:r w:rsidRPr="00935319">
        <w:t xml:space="preserve"> 9500 WD з відвалом, косаркою, </w:t>
      </w:r>
      <w:proofErr w:type="spellStart"/>
      <w:r w:rsidRPr="00935319">
        <w:t>навантажувачем</w:t>
      </w:r>
      <w:proofErr w:type="spellEnd"/>
      <w:r>
        <w:t xml:space="preserve"> – 2 133,4 тис. грн.</w:t>
      </w:r>
      <w:r w:rsidR="00B009B6">
        <w:t>;</w:t>
      </w:r>
    </w:p>
    <w:p w:rsidR="00B009B6" w:rsidRPr="00083898" w:rsidRDefault="00B009B6" w:rsidP="00B009B6">
      <w:pPr>
        <w:ind w:firstLine="708"/>
        <w:jc w:val="both"/>
      </w:pPr>
      <w:r>
        <w:t xml:space="preserve">- </w:t>
      </w:r>
      <w:r w:rsidRPr="00083898">
        <w:t xml:space="preserve"> </w:t>
      </w:r>
      <w:r w:rsidR="00DD6E44">
        <w:t xml:space="preserve">на </w:t>
      </w:r>
      <w:r>
        <w:t xml:space="preserve">Програму </w:t>
      </w:r>
      <w:r w:rsidRPr="00083898">
        <w:t>фінансової підтримки Диканського комбінату комунальних підприємств на 202</w:t>
      </w:r>
      <w:r w:rsidR="00C7352D" w:rsidRPr="00083898">
        <w:t>4</w:t>
      </w:r>
      <w:r w:rsidR="007574F4">
        <w:t xml:space="preserve"> рік</w:t>
      </w:r>
      <w:r w:rsidR="004A2236">
        <w:t xml:space="preserve"> </w:t>
      </w:r>
      <w:r w:rsidR="001250BC">
        <w:t>- 987,9</w:t>
      </w:r>
      <w:r w:rsidR="00083898" w:rsidRPr="00083898">
        <w:t xml:space="preserve"> тис. грн.</w:t>
      </w:r>
      <w:r w:rsidR="004A2236">
        <w:t xml:space="preserve"> (а саме видатки загального фонду),</w:t>
      </w:r>
      <w:r w:rsidR="007574F4">
        <w:t xml:space="preserve"> що становить</w:t>
      </w:r>
      <w:r w:rsidR="001250BC">
        <w:t xml:space="preserve"> 80,1%</w:t>
      </w:r>
      <w:r w:rsidR="00083898">
        <w:t xml:space="preserve"> до плану</w:t>
      </w:r>
      <w:r w:rsidR="007574F4">
        <w:t xml:space="preserve"> та</w:t>
      </w:r>
      <w:r w:rsidR="00083898">
        <w:t xml:space="preserve"> менше </w:t>
      </w:r>
      <w:r w:rsidR="00B84BA9" w:rsidRPr="00083898">
        <w:t xml:space="preserve">ніж у І </w:t>
      </w:r>
      <w:r w:rsidR="007574F4">
        <w:t xml:space="preserve">півріччі </w:t>
      </w:r>
      <w:r w:rsidR="00B84BA9" w:rsidRPr="00083898">
        <w:t>202</w:t>
      </w:r>
      <w:r w:rsidR="00083898">
        <w:t>3</w:t>
      </w:r>
      <w:r w:rsidR="00B84BA9" w:rsidRPr="00083898">
        <w:t xml:space="preserve"> року</w:t>
      </w:r>
      <w:r w:rsidR="007574F4">
        <w:t xml:space="preserve"> на 1 079,1 тис. грн.</w:t>
      </w:r>
      <w:r w:rsidR="007653B7">
        <w:t xml:space="preserve"> або </w:t>
      </w:r>
      <w:r w:rsidR="007574F4">
        <w:t>-52,5%</w:t>
      </w:r>
      <w:r w:rsidRPr="00083898">
        <w:t>;</w:t>
      </w:r>
    </w:p>
    <w:p w:rsidR="007574F4" w:rsidRDefault="00B009B6" w:rsidP="00B009B6">
      <w:pPr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DD6E44">
        <w:rPr>
          <w:lang w:val="ru-RU"/>
        </w:rPr>
        <w:t xml:space="preserve">на </w:t>
      </w:r>
      <w:proofErr w:type="spellStart"/>
      <w:r>
        <w:rPr>
          <w:lang w:val="ru-RU"/>
        </w:rPr>
        <w:t>Програму</w:t>
      </w:r>
      <w:proofErr w:type="spellEnd"/>
      <w:r w:rsidRPr="00FD6194">
        <w:rPr>
          <w:lang w:val="ru-RU"/>
        </w:rPr>
        <w:t xml:space="preserve"> «</w:t>
      </w:r>
      <w:proofErr w:type="spellStart"/>
      <w:r w:rsidRPr="00FD6194">
        <w:rPr>
          <w:lang w:val="ru-RU"/>
        </w:rPr>
        <w:t>Питна</w:t>
      </w:r>
      <w:proofErr w:type="spellEnd"/>
      <w:r w:rsidRPr="00FD6194">
        <w:rPr>
          <w:lang w:val="ru-RU"/>
        </w:rPr>
        <w:t xml:space="preserve"> вода </w:t>
      </w:r>
      <w:proofErr w:type="spellStart"/>
      <w:r w:rsidRPr="00FD6194">
        <w:rPr>
          <w:lang w:val="ru-RU"/>
        </w:rPr>
        <w:t>Диканської</w:t>
      </w:r>
      <w:proofErr w:type="spellEnd"/>
      <w:r w:rsidRPr="00FD6194">
        <w:rPr>
          <w:lang w:val="ru-RU"/>
        </w:rPr>
        <w:t xml:space="preserve"> </w:t>
      </w:r>
      <w:proofErr w:type="spellStart"/>
      <w:r w:rsidRPr="00FD6194">
        <w:rPr>
          <w:lang w:val="ru-RU"/>
        </w:rPr>
        <w:t>селищної</w:t>
      </w:r>
      <w:proofErr w:type="spellEnd"/>
      <w:r w:rsidRPr="00FD6194">
        <w:rPr>
          <w:lang w:val="ru-RU"/>
        </w:rPr>
        <w:t xml:space="preserve"> </w:t>
      </w:r>
      <w:proofErr w:type="spellStart"/>
      <w:r w:rsidRPr="00FD6194">
        <w:rPr>
          <w:lang w:val="ru-RU"/>
        </w:rPr>
        <w:t>територіальної</w:t>
      </w:r>
      <w:proofErr w:type="spellEnd"/>
      <w:r w:rsidRPr="00FD6194">
        <w:rPr>
          <w:lang w:val="ru-RU"/>
        </w:rPr>
        <w:t xml:space="preserve"> </w:t>
      </w:r>
      <w:proofErr w:type="spellStart"/>
      <w:r w:rsidRPr="00FD6194">
        <w:rPr>
          <w:lang w:val="ru-RU"/>
        </w:rPr>
        <w:t>громади</w:t>
      </w:r>
      <w:proofErr w:type="spellEnd"/>
      <w:r w:rsidRPr="00FD6194">
        <w:rPr>
          <w:lang w:val="ru-RU"/>
        </w:rPr>
        <w:t xml:space="preserve"> на 2021-2024 роки»</w:t>
      </w:r>
      <w:r>
        <w:rPr>
          <w:lang w:val="ru-RU"/>
        </w:rPr>
        <w:t xml:space="preserve"> </w:t>
      </w:r>
      <w:proofErr w:type="spellStart"/>
      <w:r w:rsidR="009977F8">
        <w:rPr>
          <w:lang w:val="ru-RU"/>
        </w:rPr>
        <w:t>спрямовані</w:t>
      </w:r>
      <w:proofErr w:type="spellEnd"/>
      <w:r w:rsidR="009977F8">
        <w:rPr>
          <w:lang w:val="ru-RU"/>
        </w:rPr>
        <w:t xml:space="preserve"> </w:t>
      </w:r>
      <w:proofErr w:type="spellStart"/>
      <w:r w:rsidR="009977F8">
        <w:rPr>
          <w:lang w:val="ru-RU"/>
        </w:rPr>
        <w:t>видатки</w:t>
      </w:r>
      <w:proofErr w:type="spellEnd"/>
      <w:r w:rsidR="009977F8">
        <w:rPr>
          <w:lang w:val="ru-RU"/>
        </w:rPr>
        <w:t xml:space="preserve"> в </w:t>
      </w:r>
      <w:proofErr w:type="spellStart"/>
      <w:r w:rsidR="009977F8">
        <w:rPr>
          <w:lang w:val="ru-RU"/>
        </w:rPr>
        <w:t>сумі</w:t>
      </w:r>
      <w:proofErr w:type="spellEnd"/>
      <w:r w:rsidR="009977F8">
        <w:rPr>
          <w:lang w:val="ru-RU"/>
        </w:rPr>
        <w:t xml:space="preserve"> </w:t>
      </w:r>
      <w:r w:rsidR="001C57B8">
        <w:rPr>
          <w:lang w:val="ru-RU"/>
        </w:rPr>
        <w:t>600,8</w:t>
      </w:r>
      <w:r w:rsidR="00B84BA9">
        <w:rPr>
          <w:lang w:val="ru-RU"/>
        </w:rPr>
        <w:t xml:space="preserve"> </w:t>
      </w:r>
      <w:r>
        <w:rPr>
          <w:lang w:val="ru-RU"/>
        </w:rPr>
        <w:t>тис. грн.</w:t>
      </w:r>
      <w:r w:rsidR="009977F8">
        <w:rPr>
          <w:lang w:val="ru-RU"/>
        </w:rPr>
        <w:t xml:space="preserve">, в тому </w:t>
      </w:r>
      <w:proofErr w:type="spellStart"/>
      <w:r w:rsidR="009977F8">
        <w:rPr>
          <w:lang w:val="ru-RU"/>
        </w:rPr>
        <w:t>числі</w:t>
      </w:r>
      <w:proofErr w:type="spellEnd"/>
      <w:r w:rsidR="009977F8">
        <w:rPr>
          <w:lang w:val="ru-RU"/>
        </w:rPr>
        <w:t xml:space="preserve"> </w:t>
      </w:r>
      <w:r w:rsidR="001C57B8">
        <w:rPr>
          <w:lang w:val="ru-RU"/>
        </w:rPr>
        <w:t xml:space="preserve">по </w:t>
      </w:r>
      <w:proofErr w:type="spellStart"/>
      <w:r w:rsidR="001C57B8">
        <w:rPr>
          <w:lang w:val="ru-RU"/>
        </w:rPr>
        <w:t>загальному</w:t>
      </w:r>
      <w:proofErr w:type="spellEnd"/>
      <w:r w:rsidR="001C57B8">
        <w:rPr>
          <w:lang w:val="ru-RU"/>
        </w:rPr>
        <w:t xml:space="preserve"> фонду </w:t>
      </w:r>
      <w:proofErr w:type="spellStart"/>
      <w:r w:rsidR="001C57B8">
        <w:rPr>
          <w:lang w:val="ru-RU"/>
        </w:rPr>
        <w:t>виконання</w:t>
      </w:r>
      <w:proofErr w:type="spellEnd"/>
      <w:r w:rsidR="001C57B8">
        <w:rPr>
          <w:lang w:val="ru-RU"/>
        </w:rPr>
        <w:t xml:space="preserve"> </w:t>
      </w:r>
      <w:proofErr w:type="spellStart"/>
      <w:r w:rsidR="001C57B8">
        <w:rPr>
          <w:lang w:val="ru-RU"/>
        </w:rPr>
        <w:t>планових</w:t>
      </w:r>
      <w:proofErr w:type="spellEnd"/>
      <w:r w:rsidR="001C57B8">
        <w:rPr>
          <w:lang w:val="ru-RU"/>
        </w:rPr>
        <w:t xml:space="preserve"> </w:t>
      </w:r>
      <w:proofErr w:type="spellStart"/>
      <w:r w:rsidR="001C57B8">
        <w:rPr>
          <w:lang w:val="ru-RU"/>
        </w:rPr>
        <w:t>асигнувань</w:t>
      </w:r>
      <w:proofErr w:type="spellEnd"/>
      <w:r w:rsidR="001C57B8">
        <w:rPr>
          <w:lang w:val="ru-RU"/>
        </w:rPr>
        <w:t xml:space="preserve"> становить 47,3% </w:t>
      </w:r>
      <w:proofErr w:type="gramStart"/>
      <w:r w:rsidR="001C57B8">
        <w:rPr>
          <w:lang w:val="ru-RU"/>
        </w:rPr>
        <w:t xml:space="preserve">на </w:t>
      </w:r>
      <w:r w:rsidR="0040630C">
        <w:rPr>
          <w:lang w:val="ru-RU"/>
        </w:rPr>
        <w:t xml:space="preserve"> </w:t>
      </w:r>
      <w:r w:rsidR="007574F4">
        <w:rPr>
          <w:lang w:val="ru-RU"/>
        </w:rPr>
        <w:t>237</w:t>
      </w:r>
      <w:proofErr w:type="gramEnd"/>
      <w:r w:rsidR="007574F4">
        <w:rPr>
          <w:lang w:val="ru-RU"/>
        </w:rPr>
        <w:t>,3</w:t>
      </w:r>
      <w:r w:rsidR="0040630C">
        <w:rPr>
          <w:lang w:val="ru-RU"/>
        </w:rPr>
        <w:t xml:space="preserve"> тис. грн</w:t>
      </w:r>
      <w:r w:rsidR="007574F4">
        <w:rPr>
          <w:lang w:val="ru-RU"/>
        </w:rPr>
        <w:t>.,</w:t>
      </w:r>
      <w:r w:rsidR="0018721C">
        <w:rPr>
          <w:lang w:val="ru-RU"/>
        </w:rPr>
        <w:t xml:space="preserve"> </w:t>
      </w:r>
      <w:proofErr w:type="spellStart"/>
      <w:r w:rsidR="0018721C">
        <w:rPr>
          <w:lang w:val="ru-RU"/>
        </w:rPr>
        <w:t>що</w:t>
      </w:r>
      <w:proofErr w:type="spellEnd"/>
      <w:r w:rsidR="0018721C">
        <w:rPr>
          <w:lang w:val="ru-RU"/>
        </w:rPr>
        <w:t xml:space="preserve"> </w:t>
      </w:r>
      <w:proofErr w:type="spellStart"/>
      <w:r w:rsidR="0018721C">
        <w:rPr>
          <w:lang w:val="ru-RU"/>
        </w:rPr>
        <w:t>більше</w:t>
      </w:r>
      <w:proofErr w:type="spellEnd"/>
      <w:r w:rsidR="0018721C">
        <w:rPr>
          <w:lang w:val="ru-RU"/>
        </w:rPr>
        <w:t xml:space="preserve"> </w:t>
      </w:r>
      <w:proofErr w:type="spellStart"/>
      <w:r w:rsidR="0018721C">
        <w:rPr>
          <w:lang w:val="ru-RU"/>
        </w:rPr>
        <w:t>ніж</w:t>
      </w:r>
      <w:proofErr w:type="spellEnd"/>
      <w:r w:rsidR="0018721C">
        <w:rPr>
          <w:lang w:val="ru-RU"/>
        </w:rPr>
        <w:t xml:space="preserve"> </w:t>
      </w:r>
      <w:r w:rsidR="001C57B8">
        <w:rPr>
          <w:lang w:val="ru-RU"/>
        </w:rPr>
        <w:t xml:space="preserve">за </w:t>
      </w:r>
      <w:proofErr w:type="spellStart"/>
      <w:r w:rsidR="001C57B8">
        <w:rPr>
          <w:lang w:val="ru-RU"/>
        </w:rPr>
        <w:t>січень-червень</w:t>
      </w:r>
      <w:proofErr w:type="spellEnd"/>
      <w:r w:rsidR="001C57B8">
        <w:rPr>
          <w:lang w:val="ru-RU"/>
        </w:rPr>
        <w:t xml:space="preserve"> 2023 року на 22,8% </w:t>
      </w:r>
      <w:proofErr w:type="spellStart"/>
      <w:r w:rsidR="001C57B8">
        <w:rPr>
          <w:lang w:val="ru-RU"/>
        </w:rPr>
        <w:t>або</w:t>
      </w:r>
      <w:proofErr w:type="spellEnd"/>
      <w:r w:rsidR="001C57B8">
        <w:rPr>
          <w:lang w:val="ru-RU"/>
        </w:rPr>
        <w:t xml:space="preserve"> +44,1 тис. грн., з </w:t>
      </w:r>
      <w:proofErr w:type="spellStart"/>
      <w:r w:rsidR="001C57B8">
        <w:rPr>
          <w:lang w:val="ru-RU"/>
        </w:rPr>
        <w:t>спеціального</w:t>
      </w:r>
      <w:proofErr w:type="spellEnd"/>
      <w:r w:rsidR="001C57B8">
        <w:rPr>
          <w:lang w:val="ru-RU"/>
        </w:rPr>
        <w:t xml:space="preserve"> фонду</w:t>
      </w:r>
      <w:r w:rsidR="0040630C">
        <w:rPr>
          <w:lang w:val="ru-RU"/>
        </w:rPr>
        <w:t xml:space="preserve"> </w:t>
      </w:r>
      <w:proofErr w:type="spellStart"/>
      <w:r w:rsidR="00DD6E44">
        <w:rPr>
          <w:lang w:val="ru-RU"/>
        </w:rPr>
        <w:t>профінансовані</w:t>
      </w:r>
      <w:proofErr w:type="spellEnd"/>
      <w:r w:rsidR="00DD6E44">
        <w:rPr>
          <w:lang w:val="ru-RU"/>
        </w:rPr>
        <w:t xml:space="preserve"> </w:t>
      </w:r>
      <w:proofErr w:type="spellStart"/>
      <w:r w:rsidR="009977F8" w:rsidRPr="009977F8">
        <w:rPr>
          <w:b/>
          <w:lang w:val="ru-RU"/>
        </w:rPr>
        <w:t>кошти</w:t>
      </w:r>
      <w:proofErr w:type="spellEnd"/>
      <w:r w:rsidR="009977F8" w:rsidRPr="009977F8">
        <w:rPr>
          <w:b/>
          <w:lang w:val="ru-RU"/>
        </w:rPr>
        <w:t xml:space="preserve"> бюджету </w:t>
      </w:r>
      <w:proofErr w:type="spellStart"/>
      <w:r w:rsidR="009977F8" w:rsidRPr="009977F8">
        <w:rPr>
          <w:b/>
          <w:lang w:val="ru-RU"/>
        </w:rPr>
        <w:t>розвитку</w:t>
      </w:r>
      <w:proofErr w:type="spellEnd"/>
      <w:r w:rsidR="001C57B8">
        <w:rPr>
          <w:b/>
          <w:lang w:val="ru-RU"/>
        </w:rPr>
        <w:t xml:space="preserve"> </w:t>
      </w:r>
      <w:r w:rsidR="001C57B8" w:rsidRPr="001C57B8">
        <w:rPr>
          <w:lang w:val="ru-RU"/>
        </w:rPr>
        <w:t>на суму</w:t>
      </w:r>
      <w:r w:rsidR="009977F8" w:rsidRPr="009977F8">
        <w:rPr>
          <w:b/>
          <w:lang w:val="ru-RU"/>
        </w:rPr>
        <w:t xml:space="preserve">– </w:t>
      </w:r>
      <w:r w:rsidR="007574F4" w:rsidRPr="009673FF">
        <w:rPr>
          <w:b/>
          <w:lang w:val="ru-RU"/>
        </w:rPr>
        <w:t xml:space="preserve">363,5 </w:t>
      </w:r>
      <w:r w:rsidR="009977F8" w:rsidRPr="009673FF">
        <w:rPr>
          <w:b/>
          <w:lang w:val="ru-RU"/>
        </w:rPr>
        <w:t>тис. грн.,</w:t>
      </w:r>
      <w:r w:rsidR="009977F8" w:rsidRPr="009673FF">
        <w:rPr>
          <w:lang w:val="ru-RU"/>
        </w:rPr>
        <w:t xml:space="preserve"> </w:t>
      </w:r>
      <w:r w:rsidR="006501D5" w:rsidRPr="009673FF">
        <w:rPr>
          <w:lang w:val="ru-RU"/>
        </w:rPr>
        <w:t xml:space="preserve">за </w:t>
      </w:r>
      <w:proofErr w:type="spellStart"/>
      <w:r w:rsidR="009977F8" w:rsidRPr="009673FF">
        <w:rPr>
          <w:lang w:val="ru-RU"/>
        </w:rPr>
        <w:t>які</w:t>
      </w:r>
      <w:proofErr w:type="spellEnd"/>
      <w:r w:rsidR="009977F8" w:rsidRPr="009673FF">
        <w:rPr>
          <w:lang w:val="ru-RU"/>
        </w:rPr>
        <w:t xml:space="preserve"> </w:t>
      </w:r>
      <w:proofErr w:type="spellStart"/>
      <w:r w:rsidR="00DD6E44" w:rsidRPr="009673FF">
        <w:rPr>
          <w:lang w:val="ru-RU"/>
        </w:rPr>
        <w:t>придбан</w:t>
      </w:r>
      <w:r w:rsidR="006501D5" w:rsidRPr="009673FF">
        <w:rPr>
          <w:lang w:val="ru-RU"/>
        </w:rPr>
        <w:t>о</w:t>
      </w:r>
      <w:proofErr w:type="spellEnd"/>
      <w:r w:rsidR="007574F4" w:rsidRPr="009673FF">
        <w:rPr>
          <w:lang w:val="ru-RU"/>
        </w:rPr>
        <w:t>:</w:t>
      </w:r>
    </w:p>
    <w:p w:rsidR="007574F4" w:rsidRDefault="00DD6E44" w:rsidP="007574F4">
      <w:pPr>
        <w:pStyle w:val="af3"/>
        <w:numPr>
          <w:ilvl w:val="0"/>
          <w:numId w:val="20"/>
        </w:numPr>
        <w:jc w:val="both"/>
        <w:rPr>
          <w:lang w:val="ru-RU"/>
        </w:rPr>
      </w:pPr>
      <w:proofErr w:type="spellStart"/>
      <w:r w:rsidRPr="007574F4">
        <w:rPr>
          <w:lang w:val="ru-RU"/>
        </w:rPr>
        <w:t>чотир</w:t>
      </w:r>
      <w:r w:rsidR="006501D5" w:rsidRPr="007574F4">
        <w:rPr>
          <w:lang w:val="ru-RU"/>
        </w:rPr>
        <w:t>и</w:t>
      </w:r>
      <w:proofErr w:type="spellEnd"/>
      <w:r w:rsidRPr="007574F4">
        <w:rPr>
          <w:lang w:val="ru-RU"/>
        </w:rPr>
        <w:t xml:space="preserve"> </w:t>
      </w:r>
      <w:proofErr w:type="spellStart"/>
      <w:r w:rsidRPr="007574F4">
        <w:rPr>
          <w:lang w:val="ru-RU"/>
        </w:rPr>
        <w:t>занурювальн</w:t>
      </w:r>
      <w:r w:rsidR="006501D5" w:rsidRPr="007574F4">
        <w:rPr>
          <w:lang w:val="ru-RU"/>
        </w:rPr>
        <w:t>і</w:t>
      </w:r>
      <w:proofErr w:type="spellEnd"/>
      <w:r w:rsidRPr="007574F4">
        <w:rPr>
          <w:lang w:val="ru-RU"/>
        </w:rPr>
        <w:t xml:space="preserve"> </w:t>
      </w:r>
      <w:proofErr w:type="spellStart"/>
      <w:r w:rsidRPr="007574F4">
        <w:rPr>
          <w:lang w:val="ru-RU"/>
        </w:rPr>
        <w:t>двигун</w:t>
      </w:r>
      <w:r w:rsidR="006501D5" w:rsidRPr="007574F4">
        <w:rPr>
          <w:lang w:val="ru-RU"/>
        </w:rPr>
        <w:t>а</w:t>
      </w:r>
      <w:proofErr w:type="spellEnd"/>
      <w:r w:rsidR="007574F4">
        <w:rPr>
          <w:lang w:val="ru-RU"/>
        </w:rPr>
        <w:t xml:space="preserve"> – 67,1 тис. грн.;</w:t>
      </w:r>
    </w:p>
    <w:p w:rsidR="00B009B6" w:rsidRDefault="007574F4" w:rsidP="007574F4">
      <w:pPr>
        <w:pStyle w:val="af3"/>
        <w:numPr>
          <w:ilvl w:val="0"/>
          <w:numId w:val="20"/>
        </w:numPr>
        <w:jc w:val="both"/>
        <w:rPr>
          <w:lang w:val="ru-RU"/>
        </w:rPr>
      </w:pPr>
      <w:proofErr w:type="spellStart"/>
      <w:r>
        <w:rPr>
          <w:lang w:val="ru-RU"/>
        </w:rPr>
        <w:t>шість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глибинних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насосів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водозабори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скважини</w:t>
      </w:r>
      <w:proofErr w:type="spellEnd"/>
      <w:r>
        <w:rPr>
          <w:lang w:val="ru-RU"/>
        </w:rPr>
        <w:t xml:space="preserve"> – 251,2 тис. грн.</w:t>
      </w:r>
      <w:r w:rsidR="00E62BD1" w:rsidRPr="007574F4">
        <w:rPr>
          <w:lang w:val="ru-RU"/>
        </w:rPr>
        <w:t>;</w:t>
      </w:r>
    </w:p>
    <w:p w:rsidR="007574F4" w:rsidRPr="007574F4" w:rsidRDefault="007574F4" w:rsidP="001C57B8">
      <w:pPr>
        <w:pStyle w:val="af3"/>
        <w:numPr>
          <w:ilvl w:val="0"/>
          <w:numId w:val="20"/>
        </w:numPr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чотири</w:t>
      </w:r>
      <w:proofErr w:type="spellEnd"/>
      <w:r>
        <w:rPr>
          <w:lang w:val="ru-RU"/>
        </w:rPr>
        <w:t xml:space="preserve"> </w:t>
      </w:r>
      <w:proofErr w:type="spellStart"/>
      <w:r w:rsidR="001C57B8" w:rsidRPr="001C57B8">
        <w:rPr>
          <w:lang w:val="ru-RU"/>
        </w:rPr>
        <w:t>гідравлічн</w:t>
      </w:r>
      <w:r w:rsidR="001C57B8">
        <w:rPr>
          <w:lang w:val="ru-RU"/>
        </w:rPr>
        <w:t>і</w:t>
      </w:r>
      <w:proofErr w:type="spellEnd"/>
      <w:r w:rsidR="001C57B8">
        <w:rPr>
          <w:lang w:val="ru-RU"/>
        </w:rPr>
        <w:t xml:space="preserve"> </w:t>
      </w:r>
      <w:proofErr w:type="spellStart"/>
      <w:r w:rsidR="001C57B8" w:rsidRPr="001C57B8">
        <w:rPr>
          <w:lang w:val="ru-RU"/>
        </w:rPr>
        <w:t>частин</w:t>
      </w:r>
      <w:r w:rsidR="001C57B8">
        <w:rPr>
          <w:lang w:val="ru-RU"/>
        </w:rPr>
        <w:t>и</w:t>
      </w:r>
      <w:proofErr w:type="spellEnd"/>
      <w:r w:rsidR="001C57B8" w:rsidRPr="001C57B8">
        <w:rPr>
          <w:lang w:val="ru-RU"/>
        </w:rPr>
        <w:t xml:space="preserve"> VSP 04006/36 4 без </w:t>
      </w:r>
      <w:proofErr w:type="spellStart"/>
      <w:r w:rsidR="001C57B8" w:rsidRPr="001C57B8">
        <w:rPr>
          <w:lang w:val="ru-RU"/>
        </w:rPr>
        <w:t>ел</w:t>
      </w:r>
      <w:r w:rsidR="001C57B8">
        <w:rPr>
          <w:lang w:val="ru-RU"/>
        </w:rPr>
        <w:t>ектро</w:t>
      </w:r>
      <w:r w:rsidR="001C57B8" w:rsidRPr="001C57B8">
        <w:rPr>
          <w:lang w:val="ru-RU"/>
        </w:rPr>
        <w:t>двигуна</w:t>
      </w:r>
      <w:proofErr w:type="spellEnd"/>
      <w:r w:rsidR="001C57B8" w:rsidRPr="001C57B8">
        <w:rPr>
          <w:lang w:val="ru-RU"/>
        </w:rPr>
        <w:t xml:space="preserve"> </w:t>
      </w:r>
      <w:r>
        <w:rPr>
          <w:lang w:val="ru-RU"/>
        </w:rPr>
        <w:t>– 45,2 тис. грн.</w:t>
      </w:r>
    </w:p>
    <w:p w:rsidR="00B84BA9" w:rsidRDefault="00B84BA9" w:rsidP="00B009B6">
      <w:pPr>
        <w:ind w:firstLine="708"/>
        <w:jc w:val="both"/>
        <w:rPr>
          <w:rFonts w:eastAsia="Arial"/>
        </w:rPr>
      </w:pPr>
      <w:r w:rsidRPr="00B84BA9">
        <w:rPr>
          <w:lang w:val="ru-RU"/>
        </w:rPr>
        <w:t xml:space="preserve">- </w:t>
      </w:r>
      <w:r w:rsidR="006501D5">
        <w:rPr>
          <w:lang w:val="ru-RU"/>
        </w:rPr>
        <w:t xml:space="preserve">на </w:t>
      </w:r>
      <w:r>
        <w:rPr>
          <w:rFonts w:eastAsia="Arial"/>
        </w:rPr>
        <w:t>Програму</w:t>
      </w:r>
      <w:r w:rsidRPr="00B84BA9">
        <w:rPr>
          <w:rFonts w:eastAsia="Arial"/>
        </w:rPr>
        <w:t xml:space="preserve"> </w:t>
      </w:r>
      <w:proofErr w:type="gramStart"/>
      <w:r w:rsidRPr="00B84BA9">
        <w:rPr>
          <w:rFonts w:eastAsia="Arial"/>
        </w:rPr>
        <w:t>відшкодування  різниці</w:t>
      </w:r>
      <w:proofErr w:type="gramEnd"/>
      <w:r w:rsidRPr="00B84BA9">
        <w:rPr>
          <w:rFonts w:eastAsia="Arial"/>
        </w:rPr>
        <w:t xml:space="preserve"> в тарифах на послуги з централізованого водопостачання та  централізованого водовідведення для населення Диканської територіаль</w:t>
      </w:r>
      <w:r w:rsidR="006501D5">
        <w:rPr>
          <w:rFonts w:eastAsia="Arial"/>
        </w:rPr>
        <w:t>ної громади на 2022 – 2024</w:t>
      </w:r>
      <w:r w:rsidR="00EF5E74">
        <w:rPr>
          <w:rFonts w:eastAsia="Arial"/>
        </w:rPr>
        <w:t xml:space="preserve"> роки </w:t>
      </w:r>
      <w:r w:rsidR="001C57B8">
        <w:rPr>
          <w:rFonts w:eastAsia="Arial"/>
        </w:rPr>
        <w:t xml:space="preserve">на 93,0% </w:t>
      </w:r>
      <w:r w:rsidR="00EF5E74">
        <w:rPr>
          <w:rFonts w:eastAsia="Arial"/>
        </w:rPr>
        <w:t>використано планов</w:t>
      </w:r>
      <w:r w:rsidR="006501D5">
        <w:rPr>
          <w:rFonts w:eastAsia="Arial"/>
        </w:rPr>
        <w:t>і асигнування</w:t>
      </w:r>
      <w:r w:rsidR="00EF5E74">
        <w:rPr>
          <w:rFonts w:eastAsia="Arial"/>
        </w:rPr>
        <w:t xml:space="preserve">  в сумі </w:t>
      </w:r>
      <w:r w:rsidR="001C57B8">
        <w:rPr>
          <w:rFonts w:eastAsia="Arial"/>
        </w:rPr>
        <w:t>1 343,</w:t>
      </w:r>
      <w:r w:rsidR="00622226">
        <w:rPr>
          <w:rFonts w:eastAsia="Arial"/>
        </w:rPr>
        <w:t>1</w:t>
      </w:r>
      <w:r w:rsidR="00EF5E74">
        <w:rPr>
          <w:rFonts w:eastAsia="Arial"/>
        </w:rPr>
        <w:t xml:space="preserve"> тис. грн.</w:t>
      </w:r>
      <w:r w:rsidR="006501D5">
        <w:rPr>
          <w:rFonts w:eastAsia="Arial"/>
        </w:rPr>
        <w:t xml:space="preserve">, що на </w:t>
      </w:r>
      <w:r w:rsidR="001C57B8">
        <w:rPr>
          <w:rFonts w:eastAsia="Arial"/>
        </w:rPr>
        <w:t xml:space="preserve">291,1 тис. грн. більше ніж за шість місяців </w:t>
      </w:r>
      <w:r w:rsidR="006501D5">
        <w:rPr>
          <w:rFonts w:eastAsia="Arial"/>
        </w:rPr>
        <w:t>2023 ро</w:t>
      </w:r>
      <w:r w:rsidR="009673FF">
        <w:rPr>
          <w:rFonts w:eastAsia="Arial"/>
        </w:rPr>
        <w:t>ку</w:t>
      </w:r>
      <w:r w:rsidR="006501D5">
        <w:rPr>
          <w:rFonts w:eastAsia="Arial"/>
        </w:rPr>
        <w:t xml:space="preserve"> або ріст витрат складає </w:t>
      </w:r>
      <w:r w:rsidR="001C57B8">
        <w:rPr>
          <w:rFonts w:eastAsia="Arial"/>
        </w:rPr>
        <w:t>27,7</w:t>
      </w:r>
      <w:r w:rsidR="006501D5">
        <w:rPr>
          <w:rFonts w:eastAsia="Arial"/>
        </w:rPr>
        <w:t>%.</w:t>
      </w:r>
    </w:p>
    <w:p w:rsidR="00C36955" w:rsidRDefault="00C36955" w:rsidP="00C36955">
      <w:pPr>
        <w:ind w:firstLine="708"/>
        <w:jc w:val="center"/>
        <w:rPr>
          <w:b/>
        </w:rPr>
      </w:pPr>
    </w:p>
    <w:p w:rsidR="00C36955" w:rsidRDefault="00C36955" w:rsidP="00C36955">
      <w:pPr>
        <w:ind w:firstLine="708"/>
        <w:jc w:val="center"/>
        <w:rPr>
          <w:b/>
        </w:rPr>
      </w:pPr>
      <w:r>
        <w:rPr>
          <w:b/>
        </w:rPr>
        <w:t>Економічна</w:t>
      </w:r>
      <w:r w:rsidRPr="003A119D">
        <w:rPr>
          <w:b/>
        </w:rPr>
        <w:t xml:space="preserve"> діяльність</w:t>
      </w:r>
    </w:p>
    <w:p w:rsidR="00C36955" w:rsidRDefault="00C36955" w:rsidP="00C36955">
      <w:pPr>
        <w:ind w:firstLine="708"/>
        <w:jc w:val="center"/>
        <w:rPr>
          <w:b/>
        </w:rPr>
      </w:pPr>
    </w:p>
    <w:p w:rsidR="00C36955" w:rsidRPr="00C36955" w:rsidRDefault="00C36955" w:rsidP="00B009B6">
      <w:pPr>
        <w:ind w:firstLine="708"/>
        <w:jc w:val="both"/>
      </w:pPr>
      <w:r w:rsidRPr="00A2031F">
        <w:t>Фінансування галузі за січень-</w:t>
      </w:r>
      <w:r>
        <w:t xml:space="preserve">червень </w:t>
      </w:r>
      <w:r w:rsidRPr="00A2031F">
        <w:t>202</w:t>
      </w:r>
      <w:r>
        <w:t>4</w:t>
      </w:r>
      <w:r w:rsidRPr="00A2031F">
        <w:t xml:space="preserve"> року </w:t>
      </w:r>
      <w:r w:rsidR="00BF2A27">
        <w:t xml:space="preserve">складає </w:t>
      </w:r>
      <w:r>
        <w:t>100</w:t>
      </w:r>
      <w:r w:rsidRPr="00A2031F">
        <w:t xml:space="preserve">% від планових </w:t>
      </w:r>
      <w:r>
        <w:t>асигнувань</w:t>
      </w:r>
      <w:r w:rsidR="00BF2A27">
        <w:t xml:space="preserve"> в сумі 36,3</w:t>
      </w:r>
      <w:r>
        <w:t xml:space="preserve">, що на 24,3 тис. грн. більше ніж за перше півріччя 2023 року (більше ніж у два рази). Частка у видатках бюджету громади за звітний період складає 0,03%. </w:t>
      </w:r>
      <w:r w:rsidRPr="00A2031F">
        <w:t xml:space="preserve">Кошти </w:t>
      </w:r>
      <w:r>
        <w:t xml:space="preserve">загального фонду </w:t>
      </w:r>
      <w:r w:rsidRPr="00A2031F">
        <w:t xml:space="preserve">спрямовані </w:t>
      </w:r>
      <w:r>
        <w:t xml:space="preserve">відповідно до </w:t>
      </w:r>
      <w:r w:rsidRPr="00A2031F">
        <w:t>Програм</w:t>
      </w:r>
      <w:r>
        <w:t>и</w:t>
      </w:r>
      <w:r w:rsidRPr="00A2031F">
        <w:t xml:space="preserve"> </w:t>
      </w:r>
      <w:r w:rsidRPr="00A2031F">
        <w:rPr>
          <w:rFonts w:eastAsia="Arial"/>
        </w:rPr>
        <w:t>здійснення заходів із землеустрою на території Диканської селищної територіальної громади Полтавського району Полтавської області на 2022-2024 роки</w:t>
      </w:r>
      <w:r>
        <w:rPr>
          <w:rFonts w:eastAsia="Arial"/>
        </w:rPr>
        <w:t xml:space="preserve"> </w:t>
      </w:r>
      <w:r w:rsidR="00847DE5">
        <w:rPr>
          <w:rFonts w:eastAsia="Arial"/>
        </w:rPr>
        <w:t>на п</w:t>
      </w:r>
      <w:r w:rsidR="00847DE5" w:rsidRPr="00847DE5">
        <w:rPr>
          <w:rFonts w:eastAsia="Arial"/>
        </w:rPr>
        <w:t>роведення експертних земельно – технічних досліджень.</w:t>
      </w:r>
    </w:p>
    <w:p w:rsidR="006501D5" w:rsidRDefault="006501D5" w:rsidP="0032774B">
      <w:pPr>
        <w:jc w:val="center"/>
        <w:rPr>
          <w:b/>
        </w:rPr>
      </w:pPr>
    </w:p>
    <w:p w:rsidR="00A2031F" w:rsidRPr="003A119D" w:rsidRDefault="00A2031F" w:rsidP="00A2031F">
      <w:pPr>
        <w:ind w:firstLine="708"/>
        <w:jc w:val="center"/>
        <w:rPr>
          <w:b/>
        </w:rPr>
      </w:pPr>
      <w:r w:rsidRPr="005242D0">
        <w:rPr>
          <w:b/>
        </w:rPr>
        <w:t>Інша діяльність</w:t>
      </w:r>
    </w:p>
    <w:p w:rsidR="00B009B6" w:rsidRDefault="00B009B6" w:rsidP="00B009B6">
      <w:pPr>
        <w:ind w:firstLine="708"/>
        <w:jc w:val="center"/>
        <w:rPr>
          <w:b/>
          <w:u w:val="single"/>
        </w:rPr>
      </w:pPr>
    </w:p>
    <w:p w:rsidR="00E24DD6" w:rsidRDefault="00DB30C3" w:rsidP="00B009B6">
      <w:pPr>
        <w:ind w:firstLine="708"/>
        <w:jc w:val="both"/>
      </w:pPr>
      <w:r w:rsidRPr="006C7E02">
        <w:rPr>
          <w:b/>
        </w:rPr>
        <w:t>Частка видатків на г</w:t>
      </w:r>
      <w:r w:rsidR="00B009B6" w:rsidRPr="006C7E02">
        <w:rPr>
          <w:b/>
        </w:rPr>
        <w:t>алузь</w:t>
      </w:r>
      <w:r w:rsidR="00B009B6" w:rsidRPr="001F4315">
        <w:t xml:space="preserve"> «Інша діяльність»</w:t>
      </w:r>
      <w:r>
        <w:t xml:space="preserve"> складає </w:t>
      </w:r>
      <w:r w:rsidRPr="006C7E02">
        <w:rPr>
          <w:b/>
        </w:rPr>
        <w:t>0,</w:t>
      </w:r>
      <w:r w:rsidR="003F2D5C">
        <w:rPr>
          <w:b/>
        </w:rPr>
        <w:t>6</w:t>
      </w:r>
      <w:r w:rsidRPr="006C7E02">
        <w:rPr>
          <w:b/>
        </w:rPr>
        <w:t>%</w:t>
      </w:r>
      <w:r>
        <w:t xml:space="preserve"> в розмірі </w:t>
      </w:r>
      <w:r w:rsidR="003F2D5C">
        <w:rPr>
          <w:b/>
        </w:rPr>
        <w:t>862,4</w:t>
      </w:r>
      <w:r w:rsidRPr="006C7E02">
        <w:rPr>
          <w:b/>
        </w:rPr>
        <w:t xml:space="preserve"> тис. грн.,</w:t>
      </w:r>
      <w:r w:rsidR="00E24DD6">
        <w:t xml:space="preserve"> з них:</w:t>
      </w:r>
    </w:p>
    <w:p w:rsidR="006A47BF" w:rsidRDefault="00E24DD6" w:rsidP="00B009B6">
      <w:pPr>
        <w:ind w:firstLine="708"/>
        <w:jc w:val="both"/>
      </w:pPr>
      <w:r>
        <w:t>по загальному фонду</w:t>
      </w:r>
      <w:r w:rsidR="000236F4">
        <w:t xml:space="preserve"> при планових показниках </w:t>
      </w:r>
      <w:r w:rsidR="003D1374">
        <w:t xml:space="preserve">на звітний період </w:t>
      </w:r>
      <w:r w:rsidR="00EF74D3">
        <w:t>1 000,7</w:t>
      </w:r>
      <w:r w:rsidR="000236F4">
        <w:t xml:space="preserve"> </w:t>
      </w:r>
      <w:r>
        <w:t>тис. грн. профінансовано</w:t>
      </w:r>
      <w:r w:rsidR="00B009B6">
        <w:t xml:space="preserve"> з бюджету громади </w:t>
      </w:r>
      <w:r w:rsidR="00EF74D3">
        <w:t>675,0</w:t>
      </w:r>
      <w:r w:rsidR="00437364">
        <w:t xml:space="preserve"> </w:t>
      </w:r>
      <w:r w:rsidR="00B009B6">
        <w:t>тис. грн</w:t>
      </w:r>
      <w:r w:rsidR="00EF74D3">
        <w:t>.</w:t>
      </w:r>
      <w:r w:rsidR="00B009B6">
        <w:t xml:space="preserve"> або на </w:t>
      </w:r>
      <w:r w:rsidR="00EF74D3">
        <w:t>67,5</w:t>
      </w:r>
      <w:r w:rsidR="00B009B6">
        <w:t>% до плану</w:t>
      </w:r>
      <w:r w:rsidR="00B93456">
        <w:t xml:space="preserve"> (</w:t>
      </w:r>
      <w:r w:rsidR="006A47BF">
        <w:t>до</w:t>
      </w:r>
      <w:r w:rsidR="00B93456">
        <w:t xml:space="preserve"> аналогічн</w:t>
      </w:r>
      <w:r w:rsidR="006A47BF">
        <w:t>ого</w:t>
      </w:r>
      <w:r w:rsidR="00B93456">
        <w:t xml:space="preserve"> період</w:t>
      </w:r>
      <w:r w:rsidR="006A47BF">
        <w:t>у</w:t>
      </w:r>
      <w:r w:rsidR="003D1374">
        <w:t xml:space="preserve"> </w:t>
      </w:r>
      <w:r w:rsidR="00B009B6">
        <w:t>попередн</w:t>
      </w:r>
      <w:r w:rsidR="003D1374">
        <w:t>ього</w:t>
      </w:r>
      <w:r w:rsidR="00B009B6">
        <w:t xml:space="preserve"> р</w:t>
      </w:r>
      <w:r w:rsidR="003D1374">
        <w:t>о</w:t>
      </w:r>
      <w:r w:rsidR="00B009B6">
        <w:t>к</w:t>
      </w:r>
      <w:r w:rsidR="003D1374">
        <w:t>у</w:t>
      </w:r>
      <w:r w:rsidR="00B93456">
        <w:t xml:space="preserve"> </w:t>
      </w:r>
      <w:r w:rsidR="006A0A96">
        <w:t xml:space="preserve">менше на </w:t>
      </w:r>
      <w:r w:rsidR="00EF74D3">
        <w:t>71,4 тис. грн. або -9,6</w:t>
      </w:r>
      <w:r w:rsidR="006A0A96">
        <w:t>%</w:t>
      </w:r>
      <w:r w:rsidR="00B93456">
        <w:t>)</w:t>
      </w:r>
      <w:r w:rsidR="006A47BF">
        <w:t>;</w:t>
      </w:r>
    </w:p>
    <w:p w:rsidR="00B009B6" w:rsidRPr="00866987" w:rsidRDefault="006A47BF" w:rsidP="0052435D">
      <w:pPr>
        <w:ind w:firstLine="708"/>
        <w:jc w:val="both"/>
        <w:rPr>
          <w:b/>
        </w:rPr>
      </w:pPr>
      <w:r>
        <w:t>по спеціальному фонду</w:t>
      </w:r>
      <w:r w:rsidR="00B009B6">
        <w:t xml:space="preserve"> </w:t>
      </w:r>
      <w:r>
        <w:t xml:space="preserve">видатки складають </w:t>
      </w:r>
      <w:r w:rsidR="00866987">
        <w:t>187,4</w:t>
      </w:r>
      <w:r>
        <w:t xml:space="preserve"> тис. грн.</w:t>
      </w:r>
      <w:r w:rsidR="00866987">
        <w:t xml:space="preserve"> на 20,6% до планових показників, що на 1 097,8 тис. грн. менше ніж за два квартали 2023 року (-85,4%), в тому числі </w:t>
      </w:r>
      <w:r w:rsidR="00866987" w:rsidRPr="00866987">
        <w:rPr>
          <w:b/>
        </w:rPr>
        <w:t>кошти</w:t>
      </w:r>
      <w:r w:rsidR="00866987">
        <w:t xml:space="preserve"> передані до </w:t>
      </w:r>
      <w:r w:rsidR="00866987" w:rsidRPr="00866987">
        <w:rPr>
          <w:b/>
        </w:rPr>
        <w:t>бюджету розвитку</w:t>
      </w:r>
      <w:r w:rsidR="00866987">
        <w:t xml:space="preserve"> та освоєні для придбання приладу нічного бачення вартіст</w:t>
      </w:r>
      <w:r w:rsidR="00BF2A27">
        <w:t>ю</w:t>
      </w:r>
      <w:r w:rsidR="00866987">
        <w:t xml:space="preserve"> </w:t>
      </w:r>
      <w:r w:rsidR="00866987" w:rsidRPr="00866987">
        <w:rPr>
          <w:b/>
        </w:rPr>
        <w:t>159,8 тис. грн.</w:t>
      </w:r>
      <w:r w:rsidR="0052435D">
        <w:rPr>
          <w:b/>
        </w:rPr>
        <w:t xml:space="preserve"> (</w:t>
      </w:r>
      <w:r w:rsidR="0052435D">
        <w:t xml:space="preserve">по </w:t>
      </w:r>
      <w:r w:rsidR="0052435D" w:rsidRPr="001154A3">
        <w:t>Програм</w:t>
      </w:r>
      <w:r w:rsidR="0052435D">
        <w:t>і</w:t>
      </w:r>
      <w:r w:rsidR="0052435D" w:rsidRPr="001154A3">
        <w:t xml:space="preserve"> організації</w:t>
      </w:r>
      <w:r w:rsidR="0052435D" w:rsidRPr="001F4315">
        <w:t xml:space="preserve"> територіальної оборони Диканської селищної територіальної громади на 202</w:t>
      </w:r>
      <w:r w:rsidR="0052435D">
        <w:t>4</w:t>
      </w:r>
      <w:r w:rsidR="0052435D" w:rsidRPr="001F4315">
        <w:t xml:space="preserve"> рі</w:t>
      </w:r>
      <w:r w:rsidR="0052435D">
        <w:t>к).</w:t>
      </w:r>
    </w:p>
    <w:p w:rsidR="006A47BF" w:rsidRDefault="006A47BF" w:rsidP="00B009B6">
      <w:pPr>
        <w:ind w:firstLine="708"/>
        <w:jc w:val="both"/>
      </w:pPr>
      <w:r>
        <w:t xml:space="preserve">Кошти </w:t>
      </w:r>
      <w:r w:rsidR="0047561F">
        <w:t xml:space="preserve">з загального фонду </w:t>
      </w:r>
      <w:r>
        <w:t>спрямовані на реалізацію</w:t>
      </w:r>
      <w:r w:rsidR="00BC7B75">
        <w:t xml:space="preserve"> заходів:</w:t>
      </w:r>
    </w:p>
    <w:p w:rsidR="00BC7B75" w:rsidRDefault="00BC7B75" w:rsidP="00BC7B75">
      <w:pPr>
        <w:ind w:firstLine="708"/>
        <w:jc w:val="both"/>
      </w:pPr>
      <w:r>
        <w:t xml:space="preserve">- по </w:t>
      </w:r>
      <w:r w:rsidRPr="00C55CA1">
        <w:t>Програм</w:t>
      </w:r>
      <w:r>
        <w:t>і</w:t>
      </w:r>
      <w:r w:rsidRPr="00C55CA1">
        <w:t xml:space="preserve"> комунікацій влади з громадськістю в Диканській територіальній громаді на 202</w:t>
      </w:r>
      <w:r>
        <w:t>4</w:t>
      </w:r>
      <w:r w:rsidRPr="00C55CA1">
        <w:t xml:space="preserve"> рік</w:t>
      </w:r>
      <w:r>
        <w:t xml:space="preserve"> профінансовано на </w:t>
      </w:r>
      <w:r w:rsidR="00161BBA">
        <w:t>94,7</w:t>
      </w:r>
      <w:r>
        <w:t xml:space="preserve">% від плану в сумі </w:t>
      </w:r>
      <w:r w:rsidR="00161BBA">
        <w:t>62,5</w:t>
      </w:r>
      <w:r>
        <w:t xml:space="preserve"> тис. грн</w:t>
      </w:r>
      <w:r w:rsidR="008451F7">
        <w:t>.</w:t>
      </w:r>
      <w:r w:rsidR="005242D0">
        <w:t xml:space="preserve"> та на </w:t>
      </w:r>
      <w:r w:rsidR="00161BBA">
        <w:t>16,3</w:t>
      </w:r>
      <w:r w:rsidR="005242D0">
        <w:t xml:space="preserve"> тис. грн. більше ніж за відповідний період минулого року (+</w:t>
      </w:r>
      <w:r w:rsidR="00161BBA">
        <w:t>35,3</w:t>
      </w:r>
      <w:r w:rsidR="005242D0">
        <w:t>%)</w:t>
      </w:r>
      <w:r>
        <w:t>;</w:t>
      </w:r>
    </w:p>
    <w:p w:rsidR="00BC7B75" w:rsidRPr="00434A47" w:rsidRDefault="00BC7B75" w:rsidP="00BC7B75">
      <w:pPr>
        <w:ind w:firstLine="708"/>
        <w:jc w:val="both"/>
      </w:pPr>
      <w:r>
        <w:t xml:space="preserve">- </w:t>
      </w:r>
      <w:r w:rsidR="000353CE">
        <w:t>по</w:t>
      </w:r>
      <w:r>
        <w:t xml:space="preserve"> Програм</w:t>
      </w:r>
      <w:r w:rsidR="000353CE">
        <w:t>і</w:t>
      </w:r>
      <w:r w:rsidRPr="00980E75">
        <w:t xml:space="preserve"> забезпечення діяльності  Диканської місцевої пожежної охорони на території Диканської  селищно</w:t>
      </w:r>
      <w:r w:rsidR="000353CE">
        <w:t>ї територіальної громади на 2024</w:t>
      </w:r>
      <w:r w:rsidRPr="00980E75">
        <w:t xml:space="preserve"> рік</w:t>
      </w:r>
      <w:r w:rsidR="000353CE">
        <w:t xml:space="preserve"> при планових показниках </w:t>
      </w:r>
      <w:r w:rsidR="005838F3">
        <w:t>335,6</w:t>
      </w:r>
      <w:r w:rsidR="000353CE">
        <w:t xml:space="preserve"> тис. грн. касові видатки склали </w:t>
      </w:r>
      <w:r w:rsidR="005838F3">
        <w:t>218,</w:t>
      </w:r>
      <w:r w:rsidR="008451F7">
        <w:t>8</w:t>
      </w:r>
      <w:r>
        <w:t xml:space="preserve"> тис. грн.</w:t>
      </w:r>
      <w:r w:rsidR="000353CE">
        <w:t xml:space="preserve"> або виконано на </w:t>
      </w:r>
      <w:r w:rsidR="005838F3">
        <w:t>65,2</w:t>
      </w:r>
      <w:r w:rsidR="000353CE">
        <w:t>% до плану</w:t>
      </w:r>
      <w:r>
        <w:t>;</w:t>
      </w:r>
    </w:p>
    <w:p w:rsidR="005E7853" w:rsidRDefault="00B009B6" w:rsidP="00B009B6">
      <w:pPr>
        <w:ind w:firstLine="708"/>
        <w:jc w:val="both"/>
      </w:pPr>
      <w:r>
        <w:t xml:space="preserve">- </w:t>
      </w:r>
      <w:r w:rsidR="00BC7B75">
        <w:t xml:space="preserve">по </w:t>
      </w:r>
      <w:r w:rsidRPr="001F4315">
        <w:t>Програм</w:t>
      </w:r>
      <w:r w:rsidR="00BC7B75">
        <w:t>і</w:t>
      </w:r>
      <w:r w:rsidRPr="001F4315">
        <w:t xml:space="preserve"> мобілізаційної підготовки та призову громадян на строкову військову службу Диканської селищної територіальної громади на 2022-2024 </w:t>
      </w:r>
      <w:r w:rsidRPr="001F4315">
        <w:lastRenderedPageBreak/>
        <w:t>роки</w:t>
      </w:r>
      <w:r>
        <w:t xml:space="preserve"> </w:t>
      </w:r>
      <w:r w:rsidR="000353CE">
        <w:t xml:space="preserve">в сумі </w:t>
      </w:r>
      <w:r w:rsidR="0052435D">
        <w:t>100,8</w:t>
      </w:r>
      <w:r w:rsidR="000353CE">
        <w:t xml:space="preserve"> тис. грн.</w:t>
      </w:r>
      <w:r w:rsidR="005242D0">
        <w:t>, що менше на 38</w:t>
      </w:r>
      <w:r w:rsidR="0052435D">
        <w:t>,6</w:t>
      </w:r>
      <w:r w:rsidR="005242D0">
        <w:t>%</w:t>
      </w:r>
      <w:r w:rsidR="00437364">
        <w:t xml:space="preserve"> ніж за січень-</w:t>
      </w:r>
      <w:r w:rsidR="0052435D">
        <w:t xml:space="preserve">червень </w:t>
      </w:r>
      <w:r w:rsidR="00437364">
        <w:t>202</w:t>
      </w:r>
      <w:r w:rsidR="005242D0">
        <w:t>3</w:t>
      </w:r>
      <w:r w:rsidR="00437364">
        <w:t xml:space="preserve"> року </w:t>
      </w:r>
      <w:r w:rsidR="005242D0">
        <w:t xml:space="preserve">або менше на </w:t>
      </w:r>
      <w:r w:rsidR="0052435D">
        <w:t>63,4</w:t>
      </w:r>
      <w:r w:rsidR="00437364">
        <w:t xml:space="preserve"> тис. грн</w:t>
      </w:r>
      <w:r w:rsidR="0052435D">
        <w:t>.;</w:t>
      </w:r>
    </w:p>
    <w:p w:rsidR="0052435D" w:rsidRDefault="0052435D" w:rsidP="00B009B6">
      <w:pPr>
        <w:ind w:firstLine="708"/>
        <w:jc w:val="both"/>
      </w:pPr>
      <w:r>
        <w:t xml:space="preserve">- по </w:t>
      </w:r>
      <w:r w:rsidRPr="001154A3">
        <w:t>Програм</w:t>
      </w:r>
      <w:r>
        <w:t>і</w:t>
      </w:r>
      <w:r w:rsidRPr="001154A3">
        <w:t xml:space="preserve"> організації</w:t>
      </w:r>
      <w:r w:rsidRPr="001F4315">
        <w:t xml:space="preserve"> територіальної оборони Диканської селищної територіальної громади на 202</w:t>
      </w:r>
      <w:r>
        <w:t>4</w:t>
      </w:r>
      <w:r w:rsidRPr="001F4315">
        <w:t xml:space="preserve"> рі</w:t>
      </w:r>
      <w:r>
        <w:t>к з місцевого бюджету в сумі 292,9 тис. грн. (100,0% до плану),  що на 212,4 тис. грн. більше ніж за січень-червень 2023 року (більше ніж у три рази).</w:t>
      </w:r>
    </w:p>
    <w:p w:rsidR="00805045" w:rsidRPr="003A119D" w:rsidRDefault="00805045" w:rsidP="00805045">
      <w:pPr>
        <w:ind w:firstLine="708"/>
        <w:jc w:val="center"/>
        <w:rPr>
          <w:b/>
        </w:rPr>
      </w:pPr>
      <w:r w:rsidRPr="003A119D">
        <w:rPr>
          <w:b/>
        </w:rPr>
        <w:t>Міжбюджетні трансферти</w:t>
      </w:r>
    </w:p>
    <w:p w:rsidR="00805045" w:rsidRPr="003A119D" w:rsidRDefault="00805045" w:rsidP="00805045">
      <w:pPr>
        <w:ind w:firstLine="435"/>
        <w:jc w:val="both"/>
      </w:pPr>
    </w:p>
    <w:p w:rsidR="00805045" w:rsidRDefault="00805045" w:rsidP="00805045">
      <w:pPr>
        <w:ind w:firstLine="709"/>
        <w:jc w:val="both"/>
      </w:pPr>
      <w:r>
        <w:t xml:space="preserve">Частка видатків з бюджету Диканської селищної територіальної громади на міжбюджетні трансферти становить 0,06 %, обсяг фінансування забезпечено стовідсотково до планових асигнувань в сумі 80,0 тис. грн. на </w:t>
      </w:r>
      <w:r>
        <w:rPr>
          <w:b/>
        </w:rPr>
        <w:t>с</w:t>
      </w:r>
      <w:r w:rsidRPr="00D97A29">
        <w:rPr>
          <w:b/>
        </w:rPr>
        <w:t>убвенці</w:t>
      </w:r>
      <w:r>
        <w:rPr>
          <w:b/>
        </w:rPr>
        <w:t>ю</w:t>
      </w:r>
      <w:r w:rsidRPr="00EE1532">
        <w:t xml:space="preserve"> з місцевого бюджету державному бюджету на виконання програм </w:t>
      </w:r>
      <w:r w:rsidRPr="00CD16ED">
        <w:rPr>
          <w:b/>
        </w:rPr>
        <w:t>соціально-економічного розвитку</w:t>
      </w:r>
      <w:r w:rsidRPr="00EE1532">
        <w:t xml:space="preserve"> регіонів</w:t>
      </w:r>
      <w:r>
        <w:t xml:space="preserve"> (</w:t>
      </w:r>
      <w:r w:rsidRPr="00D97A29">
        <w:rPr>
          <w:b/>
        </w:rPr>
        <w:t>КПКВК МБ 3719800</w:t>
      </w:r>
      <w:r>
        <w:rPr>
          <w:b/>
        </w:rPr>
        <w:t xml:space="preserve">), </w:t>
      </w:r>
      <w:r w:rsidRPr="00805045">
        <w:t xml:space="preserve">що </w:t>
      </w:r>
      <w:r w:rsidRPr="002F0949">
        <w:t>перерахован</w:t>
      </w:r>
      <w:r>
        <w:t>а</w:t>
      </w:r>
      <w:r w:rsidRPr="002F0949">
        <w:t xml:space="preserve"> до Державного бюджету</w:t>
      </w:r>
      <w:r>
        <w:t>, а саме:</w:t>
      </w:r>
    </w:p>
    <w:p w:rsidR="00805045" w:rsidRDefault="00805045" w:rsidP="00805045">
      <w:pPr>
        <w:ind w:firstLine="709"/>
        <w:jc w:val="both"/>
      </w:pPr>
      <w:r>
        <w:t xml:space="preserve">- на виконання </w:t>
      </w:r>
      <w:r w:rsidRPr="00160F7B">
        <w:t>Програм</w:t>
      </w:r>
      <w:r>
        <w:t xml:space="preserve">и </w:t>
      </w:r>
      <w:r w:rsidRPr="00E715F5">
        <w:t>розвитку інфраструктури безпеки Диканської селищної територіальної громади на 2022-2024  роки</w:t>
      </w:r>
      <w:r>
        <w:t xml:space="preserve">  1 державному </w:t>
      </w:r>
      <w:proofErr w:type="spellStart"/>
      <w:r>
        <w:t>пожежно</w:t>
      </w:r>
      <w:proofErr w:type="spellEnd"/>
      <w:r>
        <w:t xml:space="preserve">-рятувальному загону Головного управління Державної служби України з надзвичайних ситуацій у Полтавській області для 11 державної </w:t>
      </w:r>
      <w:proofErr w:type="spellStart"/>
      <w:r>
        <w:t>пожежно</w:t>
      </w:r>
      <w:proofErr w:type="spellEnd"/>
      <w:r>
        <w:t xml:space="preserve"> – рятувальної частини на поточний ремонт приміщення протирадіац</w:t>
      </w:r>
      <w:r w:rsidR="00CF7B4A">
        <w:t>ійного укриття – 50,0 тис. грн.;</w:t>
      </w:r>
    </w:p>
    <w:p w:rsidR="00805045" w:rsidRPr="00F742E9" w:rsidRDefault="00805045" w:rsidP="00CF7B4A">
      <w:pPr>
        <w:ind w:firstLine="435"/>
        <w:jc w:val="both"/>
      </w:pPr>
      <w:r>
        <w:t xml:space="preserve">- на </w:t>
      </w:r>
      <w:r w:rsidR="00CF7B4A">
        <w:t xml:space="preserve">виконання </w:t>
      </w:r>
      <w:r>
        <w:t>П</w:t>
      </w:r>
      <w:r w:rsidRPr="00DB3AC5">
        <w:t>рограм</w:t>
      </w:r>
      <w:r w:rsidR="00CF7B4A">
        <w:t>и</w:t>
      </w:r>
      <w:r w:rsidRPr="00DB3AC5">
        <w:t xml:space="preserve"> </w:t>
      </w:r>
      <w:r w:rsidR="00CF7B4A">
        <w:t>забезпечення  реалізації державних та регіональних програм  з соціального забезпечення в умовах воєнного стану на  2024 рік для</w:t>
      </w:r>
      <w:r>
        <w:t xml:space="preserve"> управління соціального</w:t>
      </w:r>
      <w:r w:rsidR="00CF7B4A">
        <w:t xml:space="preserve"> захисту населення Полтавської районної військової адміністрації в сумі 30</w:t>
      </w:r>
      <w:r>
        <w:t xml:space="preserve">,0 тис. грн. </w:t>
      </w:r>
      <w:r w:rsidR="00CF7B4A">
        <w:t>(</w:t>
      </w:r>
      <w:r>
        <w:t>на</w:t>
      </w:r>
      <w:r w:rsidRPr="00DE35BD">
        <w:t xml:space="preserve"> </w:t>
      </w:r>
      <w:r w:rsidR="00CF7B4A">
        <w:t>с</w:t>
      </w:r>
      <w:r w:rsidR="00CF7B4A" w:rsidRPr="00CF7B4A">
        <w:t xml:space="preserve">упровід </w:t>
      </w:r>
      <w:r w:rsidR="00CF7B4A">
        <w:t>програмного забезпечення</w:t>
      </w:r>
      <w:r w:rsidR="00CF7B4A" w:rsidRPr="00CF7B4A">
        <w:t>, заправк</w:t>
      </w:r>
      <w:r w:rsidR="00CF7B4A">
        <w:t>у</w:t>
      </w:r>
      <w:r w:rsidR="00CF7B4A" w:rsidRPr="00CF7B4A">
        <w:t>, ремонт, регенераці</w:t>
      </w:r>
      <w:r w:rsidR="00CF7B4A">
        <w:t>ю</w:t>
      </w:r>
      <w:r w:rsidR="00CF7B4A" w:rsidRPr="00CF7B4A">
        <w:t xml:space="preserve"> картриджів</w:t>
      </w:r>
      <w:r w:rsidR="00CF7B4A">
        <w:t>)</w:t>
      </w:r>
      <w:r w:rsidRPr="00F742E9">
        <w:t>.</w:t>
      </w:r>
    </w:p>
    <w:p w:rsidR="0052435D" w:rsidRPr="003A119D" w:rsidRDefault="0052435D" w:rsidP="00B009B6">
      <w:pPr>
        <w:ind w:firstLine="708"/>
        <w:jc w:val="both"/>
      </w:pPr>
    </w:p>
    <w:p w:rsidR="00B009B6" w:rsidRDefault="00B009B6" w:rsidP="001D69D2">
      <w:pPr>
        <w:jc w:val="both"/>
      </w:pPr>
      <w:r w:rsidRPr="00555BFD">
        <w:rPr>
          <w:noProof/>
          <w:lang w:eastAsia="uk-UA"/>
        </w:rPr>
        <w:drawing>
          <wp:inline distT="0" distB="0" distL="0" distR="0">
            <wp:extent cx="6076950" cy="3314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33B67" w:rsidRDefault="00533B67" w:rsidP="0004543F">
      <w:pPr>
        <w:ind w:firstLine="708"/>
        <w:jc w:val="both"/>
        <w:rPr>
          <w:b/>
          <w:bCs/>
          <w:i/>
        </w:rPr>
      </w:pPr>
    </w:p>
    <w:p w:rsidR="0004543F" w:rsidRDefault="0004543F" w:rsidP="0004543F">
      <w:pPr>
        <w:ind w:firstLine="708"/>
        <w:jc w:val="both"/>
      </w:pPr>
      <w:r>
        <w:rPr>
          <w:b/>
          <w:bCs/>
          <w:i/>
        </w:rPr>
        <w:lastRenderedPageBreak/>
        <w:t>Най</w:t>
      </w:r>
      <w:r w:rsidR="004B03C8">
        <w:rPr>
          <w:b/>
          <w:bCs/>
          <w:i/>
        </w:rPr>
        <w:t>вищий</w:t>
      </w:r>
      <w:r>
        <w:rPr>
          <w:b/>
          <w:bCs/>
          <w:i/>
        </w:rPr>
        <w:t xml:space="preserve"> ріст видатків </w:t>
      </w:r>
      <w:r w:rsidRPr="00D250BD">
        <w:rPr>
          <w:b/>
          <w:i/>
        </w:rPr>
        <w:t>загального фонду</w:t>
      </w:r>
      <w:r>
        <w:t xml:space="preserve"> бюджету Диканської </w:t>
      </w:r>
      <w:r w:rsidRPr="0004543F">
        <w:t xml:space="preserve">селищної територіальної громади </w:t>
      </w:r>
      <w:r w:rsidRPr="0004543F">
        <w:rPr>
          <w:bCs/>
        </w:rPr>
        <w:t>звітного періоду у порівнянні до видатків за січень-червень 2023 року спостерігається  по о</w:t>
      </w:r>
      <w:r w:rsidRPr="0004543F">
        <w:t>платі за спожиті</w:t>
      </w:r>
      <w:r>
        <w:t xml:space="preserve"> </w:t>
      </w:r>
      <w:r w:rsidRPr="0005160D">
        <w:rPr>
          <w:b/>
        </w:rPr>
        <w:t>комунальні послуги</w:t>
      </w:r>
      <w:r w:rsidRPr="00620ECD">
        <w:t xml:space="preserve"> і енергоносії</w:t>
      </w:r>
      <w:r>
        <w:t xml:space="preserve"> – на </w:t>
      </w:r>
      <w:r w:rsidRPr="0004543F">
        <w:rPr>
          <w:b/>
        </w:rPr>
        <w:t>28,</w:t>
      </w:r>
      <w:r w:rsidR="001B28EE">
        <w:rPr>
          <w:b/>
          <w:lang w:val="ru-RU"/>
        </w:rPr>
        <w:t>7</w:t>
      </w:r>
      <w:r w:rsidRPr="0004543F">
        <w:rPr>
          <w:b/>
        </w:rPr>
        <w:t>%:</w:t>
      </w:r>
      <w:r>
        <w:t xml:space="preserve"> видатки</w:t>
      </w:r>
      <w:r w:rsidRPr="00620ECD">
        <w:t xml:space="preserve"> проведен</w:t>
      </w:r>
      <w:r>
        <w:t>і</w:t>
      </w:r>
      <w:r w:rsidRPr="00620ECD">
        <w:t xml:space="preserve"> в сумі </w:t>
      </w:r>
      <w:r>
        <w:t xml:space="preserve"> </w:t>
      </w:r>
      <w:r w:rsidR="001B28EE">
        <w:rPr>
          <w:b/>
        </w:rPr>
        <w:t>10 028,4</w:t>
      </w:r>
      <w:r w:rsidRPr="0004543F">
        <w:rPr>
          <w:b/>
        </w:rPr>
        <w:t xml:space="preserve"> тис. грн.</w:t>
      </w:r>
      <w:r w:rsidRPr="00620ECD">
        <w:t xml:space="preserve"> або на </w:t>
      </w:r>
      <w:r w:rsidRPr="00D5185A">
        <w:t>97,1</w:t>
      </w:r>
      <w:r w:rsidRPr="00620ECD">
        <w:t xml:space="preserve">% до плану, що на </w:t>
      </w:r>
      <w:r w:rsidRPr="00D5185A">
        <w:t xml:space="preserve">2 </w:t>
      </w:r>
      <w:r w:rsidR="001B28EE">
        <w:rPr>
          <w:lang w:val="ru-RU"/>
        </w:rPr>
        <w:t>238,3</w:t>
      </w:r>
      <w:r w:rsidRPr="00620ECD">
        <w:t xml:space="preserve"> тис. грн. </w:t>
      </w:r>
      <w:r>
        <w:t>більше</w:t>
      </w:r>
      <w:r w:rsidRPr="00620ECD">
        <w:t xml:space="preserve"> ніж за </w:t>
      </w:r>
      <w:r>
        <w:t>1</w:t>
      </w:r>
      <w:r w:rsidRPr="00620ECD">
        <w:t xml:space="preserve"> </w:t>
      </w:r>
      <w:r>
        <w:t xml:space="preserve">півріччя </w:t>
      </w:r>
      <w:r w:rsidRPr="00620ECD">
        <w:t>202</w:t>
      </w:r>
      <w:r>
        <w:t>3</w:t>
      </w:r>
      <w:r w:rsidRPr="00620ECD">
        <w:t xml:space="preserve"> року До загальної суми видатків частка на </w:t>
      </w:r>
      <w:proofErr w:type="spellStart"/>
      <w:r w:rsidRPr="00620ECD">
        <w:t>компослуги</w:t>
      </w:r>
      <w:proofErr w:type="spellEnd"/>
      <w:r w:rsidRPr="00620ECD">
        <w:t xml:space="preserve"> складає </w:t>
      </w:r>
      <w:r w:rsidRPr="0005160D">
        <w:rPr>
          <w:b/>
        </w:rPr>
        <w:t>8,0%.</w:t>
      </w:r>
    </w:p>
    <w:p w:rsidR="0004543F" w:rsidRPr="004B03C8" w:rsidRDefault="0004543F" w:rsidP="0004543F">
      <w:pPr>
        <w:ind w:firstLine="708"/>
        <w:jc w:val="both"/>
      </w:pPr>
      <w:r w:rsidRPr="00251BDE">
        <w:rPr>
          <w:b/>
        </w:rPr>
        <w:t>Заробітна плата</w:t>
      </w:r>
      <w:r w:rsidRPr="00620ECD">
        <w:t xml:space="preserve"> та нарахування на неї профінансовані на </w:t>
      </w:r>
      <w:r>
        <w:rPr>
          <w:lang w:val="ru-RU"/>
        </w:rPr>
        <w:t>97,6%</w:t>
      </w:r>
      <w:r w:rsidRPr="00620ECD">
        <w:t xml:space="preserve"> до  плану в сумі </w:t>
      </w:r>
      <w:r>
        <w:rPr>
          <w:lang w:val="ru-RU"/>
        </w:rPr>
        <w:t>94 310,3</w:t>
      </w:r>
      <w:r w:rsidRPr="00620ECD">
        <w:rPr>
          <w:lang w:val="ru-RU"/>
        </w:rPr>
        <w:t xml:space="preserve"> </w:t>
      </w:r>
      <w:r w:rsidRPr="00620ECD">
        <w:t xml:space="preserve">тис. грн., що  на </w:t>
      </w:r>
      <w:r>
        <w:rPr>
          <w:lang w:val="ru-RU"/>
        </w:rPr>
        <w:t>13 056,0</w:t>
      </w:r>
      <w:r w:rsidRPr="00620ECD">
        <w:t xml:space="preserve"> тис. грн. </w:t>
      </w:r>
      <w:r>
        <w:t>більше</w:t>
      </w:r>
      <w:r w:rsidRPr="00620ECD">
        <w:t xml:space="preserve"> ніж за </w:t>
      </w:r>
      <w:r>
        <w:t xml:space="preserve">шість </w:t>
      </w:r>
      <w:r w:rsidRPr="00620ECD">
        <w:t>місяці</w:t>
      </w:r>
      <w:r>
        <w:t xml:space="preserve">в </w:t>
      </w:r>
      <w:r w:rsidRPr="00620ECD">
        <w:t>минулого року</w:t>
      </w:r>
      <w:r>
        <w:t xml:space="preserve"> або ріст складає </w:t>
      </w:r>
      <w:r w:rsidRPr="0004543F">
        <w:rPr>
          <w:b/>
        </w:rPr>
        <w:t>16,1%.</w:t>
      </w:r>
      <w:r w:rsidRPr="00620ECD">
        <w:t xml:space="preserve"> Частка видатків на заробітну плату в загальній сумі витрат </w:t>
      </w:r>
      <w:r>
        <w:t>загального фонду бюджету</w:t>
      </w:r>
      <w:r w:rsidRPr="00620ECD">
        <w:t xml:space="preserve"> становить </w:t>
      </w:r>
      <w:r w:rsidRPr="00251BDE">
        <w:rPr>
          <w:b/>
        </w:rPr>
        <w:t>75,0%.</w:t>
      </w:r>
      <w:r w:rsidR="004B03C8">
        <w:rPr>
          <w:b/>
        </w:rPr>
        <w:t xml:space="preserve"> </w:t>
      </w:r>
      <w:r w:rsidR="004B03C8" w:rsidRPr="004B03C8">
        <w:t>Найбільш</w:t>
      </w:r>
      <w:r w:rsidR="00B721D6">
        <w:t>а</w:t>
      </w:r>
      <w:r w:rsidR="004B03C8">
        <w:t xml:space="preserve"> частин</w:t>
      </w:r>
      <w:r w:rsidR="00B721D6">
        <w:t>а</w:t>
      </w:r>
      <w:r w:rsidR="004B03C8">
        <w:t xml:space="preserve">, а саме </w:t>
      </w:r>
      <w:r w:rsidR="004B03C8" w:rsidRPr="00D765F0">
        <w:rPr>
          <w:b/>
        </w:rPr>
        <w:t>68,2% від загальної суми</w:t>
      </w:r>
      <w:r w:rsidR="004B03C8">
        <w:t xml:space="preserve">  заробітної плати припадає на галузь «Освіта», мережа закладів якої на </w:t>
      </w:r>
      <w:r w:rsidR="00B721D6">
        <w:t>сьогоднішній</w:t>
      </w:r>
      <w:r w:rsidR="004B03C8">
        <w:t xml:space="preserve"> день в громаді</w:t>
      </w:r>
      <w:r w:rsidR="00DF409A">
        <w:t xml:space="preserve"> знаходиться в стадії оптимізації</w:t>
      </w:r>
      <w:r w:rsidR="00B721D6">
        <w:t>.</w:t>
      </w:r>
    </w:p>
    <w:p w:rsidR="005F47E3" w:rsidRDefault="005F47E3" w:rsidP="005F47E3">
      <w:pPr>
        <w:ind w:firstLine="708"/>
        <w:jc w:val="both"/>
      </w:pPr>
      <w:r>
        <w:t xml:space="preserve">Продукти харчування та медикаменти профінансовані на 82,1%  до плану в сумі </w:t>
      </w:r>
      <w:r w:rsidRPr="0005160D">
        <w:t xml:space="preserve">1 </w:t>
      </w:r>
      <w:r>
        <w:t>764,0 тис. грн. та на 1 113,3 тис. грн. більше ніж за січень-червень 2023 року (більше майже у три рази). Частка в загальній сумі видатків – 1,4%.</w:t>
      </w:r>
    </w:p>
    <w:p w:rsidR="00FC48FC" w:rsidRPr="00AC6142" w:rsidRDefault="00FC48FC" w:rsidP="00FC48FC">
      <w:pPr>
        <w:ind w:firstLine="708"/>
        <w:jc w:val="both"/>
      </w:pPr>
      <w:r w:rsidRPr="00620ECD">
        <w:t xml:space="preserve">Соціальне забезпечення – </w:t>
      </w:r>
      <w:r>
        <w:t xml:space="preserve">2 368,3 </w:t>
      </w:r>
      <w:r w:rsidRPr="00620ECD">
        <w:t xml:space="preserve">тис. грн., виконання уточнених планових асигнувань складає </w:t>
      </w:r>
      <w:r>
        <w:t xml:space="preserve">91,8 </w:t>
      </w:r>
      <w:r w:rsidRPr="00620ECD">
        <w:t xml:space="preserve">%, що </w:t>
      </w:r>
      <w:r>
        <w:t>менше</w:t>
      </w:r>
      <w:r w:rsidRPr="00620ECD">
        <w:t xml:space="preserve"> ніж </w:t>
      </w:r>
      <w:r>
        <w:t>за січень-червень 2023 року</w:t>
      </w:r>
      <w:r w:rsidRPr="00620ECD">
        <w:t xml:space="preserve"> на </w:t>
      </w:r>
      <w:r>
        <w:t>1 738,6</w:t>
      </w:r>
      <w:r w:rsidRPr="00620ECD">
        <w:t xml:space="preserve"> тис. грн. (</w:t>
      </w:r>
      <w:r>
        <w:t>-42,3</w:t>
      </w:r>
      <w:r w:rsidRPr="00620ECD">
        <w:t>). Частка видатків в загальній сумі видатків всього</w:t>
      </w:r>
      <w:r>
        <w:t xml:space="preserve"> </w:t>
      </w:r>
      <w:r w:rsidRPr="00620ECD">
        <w:t xml:space="preserve">– </w:t>
      </w:r>
      <w:r>
        <w:t>1,9</w:t>
      </w:r>
      <w:r w:rsidRPr="00620ECD">
        <w:t>%.</w:t>
      </w:r>
      <w:r>
        <w:t xml:space="preserve"> </w:t>
      </w:r>
    </w:p>
    <w:p w:rsidR="00FC48FC" w:rsidRDefault="00FC48FC" w:rsidP="005F47E3">
      <w:pPr>
        <w:ind w:firstLine="708"/>
        <w:jc w:val="both"/>
      </w:pPr>
      <w:r w:rsidRPr="00FC48FC">
        <w:rPr>
          <w:b/>
        </w:rPr>
        <w:t>Поточні трансферти</w:t>
      </w:r>
      <w:r>
        <w:t xml:space="preserve"> становлять </w:t>
      </w:r>
      <w:r w:rsidRPr="00FC48FC">
        <w:rPr>
          <w:b/>
        </w:rPr>
        <w:t>6,9%</w:t>
      </w:r>
      <w:r>
        <w:t xml:space="preserve"> від видатків загального фонду місцевого бюджету в сумі 8 622,9 тис. грн. або на 70,1% до плану, але менше на 13 713,9 тис. грн. ніж за перші два квартали 2023 року (-61,4%).</w:t>
      </w:r>
    </w:p>
    <w:p w:rsidR="00E902E8" w:rsidRDefault="00E902E8" w:rsidP="00E902E8">
      <w:pPr>
        <w:ind w:firstLine="708"/>
        <w:jc w:val="both"/>
      </w:pPr>
      <w:r w:rsidRPr="009D3C83">
        <w:t>Інші видатки</w:t>
      </w:r>
      <w:r>
        <w:t xml:space="preserve"> (предмети та матеріали, оплата послуг, </w:t>
      </w:r>
      <w:r w:rsidR="00BD2A59">
        <w:t xml:space="preserve">відрядження, </w:t>
      </w:r>
      <w:r>
        <w:t xml:space="preserve">окремі заходи, </w:t>
      </w:r>
      <w:r w:rsidR="00604F5F">
        <w:t xml:space="preserve"> </w:t>
      </w:r>
      <w:r>
        <w:t xml:space="preserve">інші поточні видатки) </w:t>
      </w:r>
      <w:r w:rsidRPr="00AC6142">
        <w:t xml:space="preserve">складають </w:t>
      </w:r>
      <w:r w:rsidR="00C27B07">
        <w:t xml:space="preserve">7 </w:t>
      </w:r>
      <w:r w:rsidR="00F80959">
        <w:t>611,8</w:t>
      </w:r>
      <w:r w:rsidR="00C27B07">
        <w:t>8</w:t>
      </w:r>
      <w:r>
        <w:t xml:space="preserve"> тис. грн. або </w:t>
      </w:r>
      <w:r w:rsidR="00F80959">
        <w:t>75,2</w:t>
      </w:r>
      <w:r w:rsidRPr="00AC6142">
        <w:t xml:space="preserve">% </w:t>
      </w:r>
      <w:r>
        <w:t xml:space="preserve">до планових показників, що до видатків </w:t>
      </w:r>
      <w:r w:rsidR="00A13380">
        <w:t xml:space="preserve">за відповідний період </w:t>
      </w:r>
      <w:r>
        <w:t xml:space="preserve">минулого року </w:t>
      </w:r>
      <w:r w:rsidR="00E1474B">
        <w:t>менше на 2,</w:t>
      </w:r>
      <w:r w:rsidR="00F80959">
        <w:t>3% або -181,2</w:t>
      </w:r>
      <w:r>
        <w:t>. грн.</w:t>
      </w:r>
      <w:r w:rsidR="00A13380">
        <w:t xml:space="preserve"> </w:t>
      </w:r>
      <w:r>
        <w:t xml:space="preserve">Питома вага в загальному обсязі видатків – </w:t>
      </w:r>
      <w:r w:rsidR="00F80959">
        <w:t>6,1</w:t>
      </w:r>
      <w:r>
        <w:t>%.</w:t>
      </w:r>
    </w:p>
    <w:p w:rsidR="00A6369A" w:rsidRDefault="00A6369A" w:rsidP="00D250BD">
      <w:pPr>
        <w:ind w:firstLine="708"/>
        <w:jc w:val="both"/>
        <w:rPr>
          <w:b/>
          <w:bCs/>
          <w:i/>
        </w:rPr>
      </w:pPr>
      <w:r>
        <w:rPr>
          <w:b/>
          <w:bCs/>
          <w:i/>
        </w:rPr>
        <w:t xml:space="preserve">З </w:t>
      </w:r>
      <w:r w:rsidR="00E361F6">
        <w:rPr>
          <w:b/>
          <w:bCs/>
          <w:i/>
        </w:rPr>
        <w:t>спеціального фонду</w:t>
      </w:r>
      <w:r w:rsidR="003A5B3D">
        <w:rPr>
          <w:b/>
          <w:bCs/>
          <w:i/>
        </w:rPr>
        <w:t xml:space="preserve"> проведені касові видатки</w:t>
      </w:r>
      <w:r w:rsidR="00E361F6">
        <w:rPr>
          <w:b/>
          <w:bCs/>
          <w:i/>
        </w:rPr>
        <w:t>:</w:t>
      </w:r>
    </w:p>
    <w:p w:rsidR="001D69D2" w:rsidRDefault="00E361F6" w:rsidP="00D250BD">
      <w:pPr>
        <w:ind w:firstLine="708"/>
        <w:jc w:val="both"/>
      </w:pPr>
      <w:r>
        <w:rPr>
          <w:b/>
          <w:bCs/>
          <w:i/>
        </w:rPr>
        <w:t xml:space="preserve"> </w:t>
      </w:r>
      <w:r w:rsidR="00D250BD" w:rsidRPr="00620ECD">
        <w:t xml:space="preserve">Заробітна плата та нарахування на неї профінансовані в сумі </w:t>
      </w:r>
      <w:r w:rsidR="003A5B3D">
        <w:rPr>
          <w:lang w:val="ru-RU"/>
        </w:rPr>
        <w:t>1 739,5</w:t>
      </w:r>
      <w:r w:rsidR="00D250BD" w:rsidRPr="00620ECD">
        <w:rPr>
          <w:lang w:val="ru-RU"/>
        </w:rPr>
        <w:t xml:space="preserve"> </w:t>
      </w:r>
      <w:r w:rsidR="00D250BD">
        <w:t xml:space="preserve">тис. грн., питома вага у видатках спеціального фонду </w:t>
      </w:r>
      <w:r w:rsidR="001D69D2">
        <w:t>–</w:t>
      </w:r>
      <w:r w:rsidR="00D250BD">
        <w:t xml:space="preserve"> </w:t>
      </w:r>
      <w:r w:rsidR="003A5B3D">
        <w:t>17,4</w:t>
      </w:r>
      <w:r w:rsidR="001D69D2">
        <w:t>%.</w:t>
      </w:r>
    </w:p>
    <w:p w:rsidR="00D250BD" w:rsidRDefault="00D250BD" w:rsidP="00D250BD">
      <w:pPr>
        <w:ind w:firstLine="708"/>
        <w:jc w:val="both"/>
      </w:pPr>
      <w:r>
        <w:t xml:space="preserve">Продукти харчування та медикаменти профінансовані у в сумі </w:t>
      </w:r>
      <w:r w:rsidR="003A5B3D">
        <w:t>1 892,0</w:t>
      </w:r>
      <w:r>
        <w:t xml:space="preserve"> </w:t>
      </w:r>
      <w:r w:rsidR="00BF3E83">
        <w:t>тис. грн., ч</w:t>
      </w:r>
      <w:r>
        <w:t xml:space="preserve">астка в загальній сумі видатків – </w:t>
      </w:r>
      <w:r w:rsidR="00B27610">
        <w:t>19,</w:t>
      </w:r>
      <w:r w:rsidR="003A5B3D">
        <w:t>0</w:t>
      </w:r>
      <w:r>
        <w:t>%.</w:t>
      </w:r>
    </w:p>
    <w:p w:rsidR="004217F8" w:rsidRDefault="004217F8" w:rsidP="00D250BD">
      <w:pPr>
        <w:ind w:firstLine="708"/>
        <w:jc w:val="both"/>
      </w:pPr>
      <w:r w:rsidRPr="004217F8">
        <w:t>За спожиті комунальні послуги</w:t>
      </w:r>
      <w:r w:rsidRPr="00620ECD">
        <w:t xml:space="preserve"> і енергоносії в сумі </w:t>
      </w:r>
      <w:r>
        <w:t>1,1 ти</w:t>
      </w:r>
      <w:r w:rsidRPr="00620ECD">
        <w:t>с. грн.</w:t>
      </w:r>
      <w:r>
        <w:t xml:space="preserve"> </w:t>
      </w:r>
    </w:p>
    <w:p w:rsidR="00BF3E83" w:rsidRDefault="00BF3E83" w:rsidP="00BF3E83">
      <w:pPr>
        <w:ind w:firstLine="708"/>
        <w:jc w:val="both"/>
      </w:pPr>
      <w:r w:rsidRPr="009D3C83">
        <w:t>Інші видатки</w:t>
      </w:r>
      <w:r>
        <w:t xml:space="preserve"> (предмети та матеріали, оплата послуг, інші поточні видатки) </w:t>
      </w:r>
      <w:r w:rsidRPr="00AC6142">
        <w:t xml:space="preserve">складають </w:t>
      </w:r>
      <w:r w:rsidR="003A5B3D">
        <w:t xml:space="preserve">2 653,2 </w:t>
      </w:r>
      <w:r>
        <w:t>тис. грн.</w:t>
      </w:r>
      <w:r w:rsidR="00632388">
        <w:t>, п</w:t>
      </w:r>
      <w:r>
        <w:t xml:space="preserve">итома вага в загальному обсязі видатків – </w:t>
      </w:r>
      <w:r w:rsidR="004217F8">
        <w:t>26,7</w:t>
      </w:r>
      <w:r>
        <w:t>%.</w:t>
      </w:r>
    </w:p>
    <w:p w:rsidR="00E902E8" w:rsidRDefault="00BF3E83" w:rsidP="00E902E8">
      <w:pPr>
        <w:ind w:firstLine="708"/>
        <w:jc w:val="both"/>
      </w:pPr>
      <w:r>
        <w:t>З</w:t>
      </w:r>
      <w:r w:rsidR="00E902E8">
        <w:t xml:space="preserve">а </w:t>
      </w:r>
      <w:r w:rsidR="00814122">
        <w:t>січень-</w:t>
      </w:r>
      <w:r w:rsidR="003A5B3D">
        <w:t xml:space="preserve">червень </w:t>
      </w:r>
      <w:r w:rsidR="00814122">
        <w:t>2</w:t>
      </w:r>
      <w:r w:rsidR="00E902E8">
        <w:t>02</w:t>
      </w:r>
      <w:r>
        <w:t>4</w:t>
      </w:r>
      <w:r w:rsidR="00E902E8">
        <w:t xml:space="preserve"> року із загального фонду до спеціального фонду були передані кошти (</w:t>
      </w:r>
      <w:r w:rsidR="00E902E8" w:rsidRPr="003A119D">
        <w:rPr>
          <w:b/>
        </w:rPr>
        <w:t>бюджет розвитку</w:t>
      </w:r>
      <w:r w:rsidR="00E902E8">
        <w:t xml:space="preserve">)  в сумі </w:t>
      </w:r>
      <w:r w:rsidR="003A5B3D">
        <w:t>3 684,1</w:t>
      </w:r>
      <w:r w:rsidR="00E902E8">
        <w:t xml:space="preserve"> тис. грн., що </w:t>
      </w:r>
      <w:r>
        <w:t xml:space="preserve">становить </w:t>
      </w:r>
      <w:r w:rsidR="003A5B3D" w:rsidRPr="003A5B3D">
        <w:rPr>
          <w:b/>
        </w:rPr>
        <w:t>36,</w:t>
      </w:r>
      <w:r w:rsidR="004217F8">
        <w:rPr>
          <w:b/>
        </w:rPr>
        <w:t>9</w:t>
      </w:r>
      <w:r w:rsidRPr="003A5B3D">
        <w:rPr>
          <w:b/>
        </w:rPr>
        <w:t>%</w:t>
      </w:r>
      <w:r>
        <w:t xml:space="preserve"> від видатків спеціального фонду</w:t>
      </w:r>
      <w:r w:rsidR="003A5B3D">
        <w:t>.</w:t>
      </w:r>
      <w:r w:rsidR="00A13380">
        <w:t>.</w:t>
      </w:r>
    </w:p>
    <w:p w:rsidR="00E902E8" w:rsidRDefault="00E902E8" w:rsidP="00B009B6">
      <w:pPr>
        <w:ind w:firstLine="540"/>
        <w:jc w:val="both"/>
      </w:pPr>
    </w:p>
    <w:p w:rsidR="00DB2750" w:rsidRDefault="00B009B6" w:rsidP="00333983">
      <w:pPr>
        <w:ind w:firstLine="709"/>
        <w:jc w:val="both"/>
      </w:pPr>
      <w:r w:rsidRPr="0029699C">
        <w:t>За результатами виконання місцевого бюджету</w:t>
      </w:r>
      <w:r>
        <w:t xml:space="preserve"> станом </w:t>
      </w:r>
      <w:r w:rsidR="0008784C" w:rsidRPr="009F300D">
        <w:t xml:space="preserve">на </w:t>
      </w:r>
      <w:r w:rsidR="0008784C">
        <w:t xml:space="preserve">1 </w:t>
      </w:r>
      <w:r w:rsidR="00333983">
        <w:t xml:space="preserve">липня </w:t>
      </w:r>
      <w:r w:rsidR="0008784C">
        <w:t>202</w:t>
      </w:r>
      <w:r w:rsidR="002376B4">
        <w:t>4</w:t>
      </w:r>
      <w:r w:rsidR="0008784C" w:rsidRPr="009F300D">
        <w:t xml:space="preserve"> року </w:t>
      </w:r>
      <w:r w:rsidR="00333983">
        <w:rPr>
          <w:b/>
        </w:rPr>
        <w:t xml:space="preserve">кредиторська </w:t>
      </w:r>
      <w:r w:rsidR="0008784C" w:rsidRPr="003A119D">
        <w:rPr>
          <w:b/>
        </w:rPr>
        <w:t>заборгованість</w:t>
      </w:r>
      <w:r w:rsidR="0008784C">
        <w:t xml:space="preserve"> загального фонду лічиться в сумі </w:t>
      </w:r>
      <w:r w:rsidR="00333983" w:rsidRPr="001B28EE">
        <w:rPr>
          <w:b/>
        </w:rPr>
        <w:t>889,6</w:t>
      </w:r>
      <w:r w:rsidR="0008784C" w:rsidRPr="001B28EE">
        <w:rPr>
          <w:b/>
        </w:rPr>
        <w:t xml:space="preserve"> тис. грн</w:t>
      </w:r>
      <w:r w:rsidR="002376B4">
        <w:t>.</w:t>
      </w:r>
      <w:r w:rsidR="0008784C" w:rsidRPr="0008784C">
        <w:t xml:space="preserve">, яка </w:t>
      </w:r>
      <w:r w:rsidR="00333983">
        <w:t xml:space="preserve">виникла у зв’язку з обмеженням у проведенні видатків згідно Постанови Кабінету Міністрів України від 09.06.2021 року №590 «Про затвердження </w:t>
      </w:r>
      <w:hyperlink r:id="rId20" w:anchor="n9" w:history="1">
        <w:r w:rsidR="00333983" w:rsidRPr="00B5665E">
          <w:rPr>
            <w:rStyle w:val="ad"/>
            <w:color w:val="auto"/>
            <w:u w:val="none"/>
            <w:shd w:val="clear" w:color="auto" w:fill="FFFFFF"/>
          </w:rPr>
          <w:t>Порядку виконання повноважень Державною казначейською службою в особливому режимі в умовах воєнного стану</w:t>
        </w:r>
      </w:hyperlink>
      <w:r w:rsidR="00333983" w:rsidRPr="00B5665E">
        <w:t>»</w:t>
      </w:r>
      <w:r w:rsidR="00333983">
        <w:t xml:space="preserve"> (зі змінами) та </w:t>
      </w:r>
      <w:r w:rsidR="00333983">
        <w:lastRenderedPageBreak/>
        <w:t xml:space="preserve">відповідно відсутністю підкріплень платіжних доручень на </w:t>
      </w:r>
      <w:proofErr w:type="spellStart"/>
      <w:r w:rsidR="00333983">
        <w:t>проплату</w:t>
      </w:r>
      <w:proofErr w:type="spellEnd"/>
      <w:r w:rsidR="00333983">
        <w:t xml:space="preserve"> видатків третьої черги в Управлінні Державної казначейської служби України у Диканському районі </w:t>
      </w:r>
      <w:r w:rsidR="00333983" w:rsidRPr="00D9632B">
        <w:t>Полтавської області</w:t>
      </w:r>
      <w:r w:rsidR="0008784C" w:rsidRPr="0008784C">
        <w:t>,</w:t>
      </w:r>
      <w:r w:rsidR="0008784C">
        <w:t xml:space="preserve"> </w:t>
      </w:r>
      <w:r w:rsidR="00DB2750">
        <w:t>а саме:</w:t>
      </w:r>
    </w:p>
    <w:p w:rsidR="00DB2750" w:rsidRDefault="00DB2750" w:rsidP="0008784C">
      <w:pPr>
        <w:ind w:firstLine="540"/>
        <w:jc w:val="both"/>
      </w:pPr>
      <w:r>
        <w:t>-</w:t>
      </w:r>
      <w:r w:rsidR="0008784C" w:rsidRPr="0008784C">
        <w:t xml:space="preserve"> по галузі «Державне управління» - </w:t>
      </w:r>
      <w:r w:rsidR="00333983">
        <w:t>142,0</w:t>
      </w:r>
      <w:r w:rsidR="0008784C">
        <w:t xml:space="preserve"> </w:t>
      </w:r>
      <w:r w:rsidR="0008784C" w:rsidRPr="0008784C">
        <w:t>тис. грн.</w:t>
      </w:r>
      <w:r>
        <w:t>;</w:t>
      </w:r>
    </w:p>
    <w:p w:rsidR="00333983" w:rsidRDefault="00333983" w:rsidP="00333983">
      <w:pPr>
        <w:ind w:firstLine="540"/>
        <w:jc w:val="both"/>
      </w:pPr>
      <w:r>
        <w:t xml:space="preserve">- </w:t>
      </w:r>
      <w:r w:rsidRPr="0008784C">
        <w:t>по галузі «</w:t>
      </w:r>
      <w:r>
        <w:t>Освіта</w:t>
      </w:r>
      <w:r w:rsidRPr="0008784C">
        <w:t xml:space="preserve">» - </w:t>
      </w:r>
      <w:r>
        <w:t xml:space="preserve">363,8 </w:t>
      </w:r>
      <w:r w:rsidRPr="0008784C">
        <w:t>тис. грн.</w:t>
      </w:r>
      <w:r>
        <w:t>;</w:t>
      </w:r>
    </w:p>
    <w:p w:rsidR="00333983" w:rsidRDefault="00333983" w:rsidP="00333983">
      <w:pPr>
        <w:ind w:firstLine="540"/>
        <w:jc w:val="both"/>
      </w:pPr>
      <w:r>
        <w:t xml:space="preserve">- </w:t>
      </w:r>
      <w:r w:rsidRPr="0008784C">
        <w:t>по галузі «</w:t>
      </w:r>
      <w:r>
        <w:t>Охорона здоров’я</w:t>
      </w:r>
      <w:r w:rsidRPr="0008784C">
        <w:t xml:space="preserve">» - </w:t>
      </w:r>
      <w:r>
        <w:t xml:space="preserve">262,4 </w:t>
      </w:r>
      <w:r w:rsidRPr="0008784C">
        <w:t>тис. грн.</w:t>
      </w:r>
      <w:r>
        <w:t>;</w:t>
      </w:r>
    </w:p>
    <w:p w:rsidR="00333983" w:rsidRDefault="00333983" w:rsidP="00333983">
      <w:pPr>
        <w:ind w:firstLine="540"/>
        <w:jc w:val="both"/>
      </w:pPr>
      <w:r>
        <w:t xml:space="preserve">- </w:t>
      </w:r>
      <w:r w:rsidRPr="0008784C">
        <w:t>по галузі «</w:t>
      </w:r>
      <w:r>
        <w:t>Соціальний захист та соціальне забезпечення</w:t>
      </w:r>
      <w:r w:rsidRPr="0008784C">
        <w:t xml:space="preserve">» - </w:t>
      </w:r>
      <w:r>
        <w:t xml:space="preserve">13,8 </w:t>
      </w:r>
      <w:r w:rsidRPr="0008784C">
        <w:t>тис. грн.</w:t>
      </w:r>
      <w:r>
        <w:t>;</w:t>
      </w:r>
    </w:p>
    <w:p w:rsidR="00333983" w:rsidRDefault="00333983" w:rsidP="00333983">
      <w:pPr>
        <w:ind w:firstLine="540"/>
        <w:jc w:val="both"/>
      </w:pPr>
      <w:r>
        <w:t xml:space="preserve">- </w:t>
      </w:r>
      <w:r w:rsidRPr="0008784C">
        <w:t>по галузі «Культура і мистецтво»  -</w:t>
      </w:r>
      <w:r>
        <w:t xml:space="preserve"> 24,2 тис. грн.</w:t>
      </w:r>
    </w:p>
    <w:p w:rsidR="00333983" w:rsidRDefault="00333983" w:rsidP="00333983">
      <w:pPr>
        <w:ind w:firstLine="540"/>
        <w:jc w:val="both"/>
      </w:pPr>
      <w:r>
        <w:t xml:space="preserve">- </w:t>
      </w:r>
      <w:r w:rsidRPr="0008784C">
        <w:t>по галузі «</w:t>
      </w:r>
      <w:r>
        <w:t>Фізична культура і спорт</w:t>
      </w:r>
      <w:r w:rsidRPr="0008784C">
        <w:t xml:space="preserve">» - </w:t>
      </w:r>
      <w:r>
        <w:t xml:space="preserve">49,2 </w:t>
      </w:r>
      <w:r w:rsidRPr="0008784C">
        <w:t>тис. грн.</w:t>
      </w:r>
      <w:r>
        <w:t>;</w:t>
      </w:r>
    </w:p>
    <w:p w:rsidR="00333983" w:rsidRDefault="00333983" w:rsidP="00333983">
      <w:pPr>
        <w:ind w:firstLine="540"/>
        <w:jc w:val="both"/>
      </w:pPr>
      <w:r>
        <w:t xml:space="preserve">- </w:t>
      </w:r>
      <w:r w:rsidRPr="0008784C">
        <w:t>по галузі «</w:t>
      </w:r>
      <w:r>
        <w:t>Інша діяльність</w:t>
      </w:r>
      <w:r w:rsidRPr="0008784C">
        <w:t xml:space="preserve">» - </w:t>
      </w:r>
      <w:r>
        <w:t xml:space="preserve">34,2 </w:t>
      </w:r>
      <w:r w:rsidRPr="0008784C">
        <w:t>тис. грн.</w:t>
      </w:r>
      <w:r>
        <w:t xml:space="preserve"> </w:t>
      </w:r>
    </w:p>
    <w:p w:rsidR="00333983" w:rsidRDefault="00333983" w:rsidP="0008784C">
      <w:pPr>
        <w:ind w:firstLine="540"/>
        <w:jc w:val="both"/>
      </w:pPr>
    </w:p>
    <w:p w:rsidR="002376B4" w:rsidRDefault="002376B4" w:rsidP="00781C74">
      <w:pPr>
        <w:ind w:firstLine="540"/>
        <w:jc w:val="both"/>
      </w:pPr>
    </w:p>
    <w:p w:rsidR="00B009B6" w:rsidRDefault="00333983" w:rsidP="00781C74">
      <w:pPr>
        <w:ind w:firstLine="540"/>
        <w:jc w:val="both"/>
      </w:pPr>
      <w:r>
        <w:t>К</w:t>
      </w:r>
      <w:r w:rsidR="00DB2750">
        <w:t xml:space="preserve">редиторська заборгованість </w:t>
      </w:r>
      <w:r>
        <w:t>спеціального фонду</w:t>
      </w:r>
      <w:r w:rsidR="00781C74">
        <w:t xml:space="preserve"> </w:t>
      </w:r>
      <w:r w:rsidR="00A7144E">
        <w:t xml:space="preserve">за видатками </w:t>
      </w:r>
      <w:r>
        <w:t xml:space="preserve">становить </w:t>
      </w:r>
      <w:r w:rsidRPr="001B28EE">
        <w:rPr>
          <w:b/>
        </w:rPr>
        <w:t>456,5 тис. грн.</w:t>
      </w:r>
      <w:r>
        <w:t>, в тому числі:</w:t>
      </w:r>
    </w:p>
    <w:p w:rsidR="00333983" w:rsidRDefault="00333983" w:rsidP="00333983">
      <w:pPr>
        <w:ind w:firstLine="540"/>
        <w:jc w:val="both"/>
      </w:pPr>
      <w:r>
        <w:t>-</w:t>
      </w:r>
      <w:r w:rsidRPr="0008784C">
        <w:t xml:space="preserve"> по галузі «Державне управління» - </w:t>
      </w:r>
      <w:r>
        <w:t xml:space="preserve">38,6 </w:t>
      </w:r>
      <w:r w:rsidRPr="0008784C">
        <w:t>тис. грн.</w:t>
      </w:r>
      <w:r>
        <w:t>;</w:t>
      </w:r>
    </w:p>
    <w:p w:rsidR="00333983" w:rsidRDefault="00333983" w:rsidP="00333983">
      <w:pPr>
        <w:ind w:firstLine="540"/>
        <w:jc w:val="both"/>
      </w:pPr>
      <w:r>
        <w:t xml:space="preserve">- </w:t>
      </w:r>
      <w:r w:rsidRPr="0008784C">
        <w:t>по галузі «</w:t>
      </w:r>
      <w:r>
        <w:t>Освіта</w:t>
      </w:r>
      <w:r w:rsidRPr="0008784C">
        <w:t xml:space="preserve">» - </w:t>
      </w:r>
      <w:r>
        <w:t xml:space="preserve">161,5 </w:t>
      </w:r>
      <w:r w:rsidRPr="0008784C">
        <w:t>тис. грн.</w:t>
      </w:r>
      <w:r>
        <w:t>;</w:t>
      </w:r>
    </w:p>
    <w:p w:rsidR="00333983" w:rsidRDefault="00333983" w:rsidP="00333983">
      <w:pPr>
        <w:ind w:firstLine="540"/>
        <w:jc w:val="both"/>
      </w:pPr>
      <w:r>
        <w:t xml:space="preserve">- </w:t>
      </w:r>
      <w:r w:rsidRPr="0008784C">
        <w:t>по галузі «</w:t>
      </w:r>
      <w:r>
        <w:t>Соціальний захист та соціальне забезпечення</w:t>
      </w:r>
      <w:r w:rsidRPr="0008784C">
        <w:t xml:space="preserve">» - </w:t>
      </w:r>
      <w:r>
        <w:t xml:space="preserve">212,6 </w:t>
      </w:r>
      <w:r w:rsidRPr="0008784C">
        <w:t>тис. грн.</w:t>
      </w:r>
      <w:r>
        <w:t>;</w:t>
      </w:r>
    </w:p>
    <w:p w:rsidR="00333983" w:rsidRDefault="00333983" w:rsidP="00333983">
      <w:pPr>
        <w:ind w:firstLine="540"/>
        <w:jc w:val="both"/>
      </w:pPr>
      <w:r>
        <w:t xml:space="preserve">- </w:t>
      </w:r>
      <w:r w:rsidRPr="0008784C">
        <w:t>по галузі «Культура і мистецтво»  -</w:t>
      </w:r>
      <w:r>
        <w:t xml:space="preserve"> 3,7 тис. грн.</w:t>
      </w:r>
    </w:p>
    <w:p w:rsidR="00333983" w:rsidRDefault="00333983" w:rsidP="00333983">
      <w:pPr>
        <w:ind w:firstLine="540"/>
        <w:jc w:val="both"/>
      </w:pPr>
      <w:r>
        <w:t xml:space="preserve">- </w:t>
      </w:r>
      <w:r w:rsidRPr="0008784C">
        <w:t>по галузі «</w:t>
      </w:r>
      <w:r>
        <w:t>Інша діяльність</w:t>
      </w:r>
      <w:r w:rsidRPr="0008784C">
        <w:t xml:space="preserve">» - </w:t>
      </w:r>
      <w:r>
        <w:t>4</w:t>
      </w:r>
      <w:r w:rsidR="009F27BD">
        <w:t>0,1</w:t>
      </w:r>
      <w:r>
        <w:t xml:space="preserve"> </w:t>
      </w:r>
      <w:r w:rsidRPr="0008784C">
        <w:t>тис. грн.</w:t>
      </w:r>
      <w:r>
        <w:t xml:space="preserve"> </w:t>
      </w:r>
    </w:p>
    <w:p w:rsidR="00333983" w:rsidRDefault="00333983" w:rsidP="00333983">
      <w:pPr>
        <w:ind w:firstLine="540"/>
        <w:jc w:val="both"/>
      </w:pPr>
    </w:p>
    <w:p w:rsidR="00B009B6" w:rsidRDefault="00B009B6" w:rsidP="00B009B6">
      <w:pPr>
        <w:jc w:val="both"/>
      </w:pPr>
    </w:p>
    <w:p w:rsidR="00E902E8" w:rsidRDefault="00E902E8" w:rsidP="00B009B6">
      <w:pPr>
        <w:jc w:val="both"/>
      </w:pPr>
    </w:p>
    <w:p w:rsidR="008F34DD" w:rsidRDefault="008F34DD" w:rsidP="00B009B6">
      <w:pPr>
        <w:jc w:val="both"/>
      </w:pPr>
    </w:p>
    <w:p w:rsidR="008F34DD" w:rsidRDefault="008F34DD" w:rsidP="00B009B6">
      <w:pPr>
        <w:jc w:val="both"/>
      </w:pPr>
    </w:p>
    <w:p w:rsidR="008F34DD" w:rsidRDefault="008F34DD" w:rsidP="00B009B6">
      <w:pPr>
        <w:jc w:val="both"/>
      </w:pPr>
      <w:bookmarkStart w:id="0" w:name="_GoBack"/>
      <w:bookmarkEnd w:id="0"/>
    </w:p>
    <w:p w:rsidR="00E902E8" w:rsidRDefault="00E902E8" w:rsidP="00B009B6">
      <w:pPr>
        <w:jc w:val="both"/>
      </w:pPr>
    </w:p>
    <w:p w:rsidR="00B009B6" w:rsidRDefault="00B009B6" w:rsidP="00B009B6">
      <w:pPr>
        <w:jc w:val="both"/>
      </w:pPr>
      <w:r>
        <w:t>Начальник фінансового управління</w:t>
      </w:r>
    </w:p>
    <w:p w:rsidR="00B009B6" w:rsidRPr="005160DD" w:rsidRDefault="00B009B6" w:rsidP="00B009B6">
      <w:pPr>
        <w:jc w:val="both"/>
        <w:rPr>
          <w:color w:val="000000"/>
        </w:rPr>
      </w:pPr>
      <w:r>
        <w:t>Диканської селищної ради</w:t>
      </w:r>
      <w:r>
        <w:tab/>
      </w:r>
      <w:r>
        <w:tab/>
      </w:r>
      <w:r>
        <w:tab/>
      </w:r>
      <w:r>
        <w:tab/>
      </w:r>
      <w:r>
        <w:tab/>
        <w:t xml:space="preserve">              Тетяна ЖУРОВА</w:t>
      </w:r>
    </w:p>
    <w:sectPr w:rsidR="00B009B6" w:rsidRPr="005160DD" w:rsidSect="003E3FCB"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C1" w:rsidRDefault="00A146C1">
      <w:r>
        <w:separator/>
      </w:r>
    </w:p>
  </w:endnote>
  <w:endnote w:type="continuationSeparator" w:id="0">
    <w:p w:rsidR="00A146C1" w:rsidRDefault="00A1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C1" w:rsidRDefault="00A146C1">
      <w:r>
        <w:separator/>
      </w:r>
    </w:p>
  </w:footnote>
  <w:footnote w:type="continuationSeparator" w:id="0">
    <w:p w:rsidR="00A146C1" w:rsidRDefault="00A1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C" w:rsidRDefault="001250BC" w:rsidP="00E62BD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1250BC" w:rsidRDefault="001250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C" w:rsidRDefault="001250BC" w:rsidP="00E62BD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34DD">
      <w:rPr>
        <w:rStyle w:val="a9"/>
        <w:noProof/>
      </w:rPr>
      <w:t>16</w:t>
    </w:r>
    <w:r>
      <w:rPr>
        <w:rStyle w:val="a9"/>
      </w:rPr>
      <w:fldChar w:fldCharType="end"/>
    </w:r>
  </w:p>
  <w:p w:rsidR="001250BC" w:rsidRDefault="001250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35B"/>
    <w:multiLevelType w:val="multilevel"/>
    <w:tmpl w:val="B47207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  <w:i/>
      </w:rPr>
    </w:lvl>
  </w:abstractNum>
  <w:abstractNum w:abstractNumId="1" w15:restartNumberingAfterBreak="0">
    <w:nsid w:val="0E9F149D"/>
    <w:multiLevelType w:val="hybridMultilevel"/>
    <w:tmpl w:val="3272B5CC"/>
    <w:lvl w:ilvl="0" w:tplc="0A50000E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0E5267"/>
    <w:multiLevelType w:val="hybridMultilevel"/>
    <w:tmpl w:val="F7D06B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2DA3472"/>
    <w:multiLevelType w:val="hybridMultilevel"/>
    <w:tmpl w:val="D2FA486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2B3E2CF1"/>
    <w:multiLevelType w:val="hybridMultilevel"/>
    <w:tmpl w:val="BD94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54BD8"/>
    <w:multiLevelType w:val="hybridMultilevel"/>
    <w:tmpl w:val="B9F6AE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F94ACF"/>
    <w:multiLevelType w:val="hybridMultilevel"/>
    <w:tmpl w:val="2C088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0396C"/>
    <w:multiLevelType w:val="hybridMultilevel"/>
    <w:tmpl w:val="29642E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CB458F"/>
    <w:multiLevelType w:val="hybridMultilevel"/>
    <w:tmpl w:val="4D425E86"/>
    <w:lvl w:ilvl="0" w:tplc="9956F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13AFC"/>
    <w:multiLevelType w:val="hybridMultilevel"/>
    <w:tmpl w:val="3B90549C"/>
    <w:lvl w:ilvl="0" w:tplc="D10E8F7E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9D06BA4"/>
    <w:multiLevelType w:val="hybridMultilevel"/>
    <w:tmpl w:val="8E9A0C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A01F5E"/>
    <w:multiLevelType w:val="hybridMultilevel"/>
    <w:tmpl w:val="B888E8D2"/>
    <w:lvl w:ilvl="0" w:tplc="CBEC9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E0DD0"/>
    <w:multiLevelType w:val="hybridMultilevel"/>
    <w:tmpl w:val="65E447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42778BB"/>
    <w:multiLevelType w:val="hybridMultilevel"/>
    <w:tmpl w:val="06706104"/>
    <w:lvl w:ilvl="0" w:tplc="F1026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71172B"/>
    <w:multiLevelType w:val="hybridMultilevel"/>
    <w:tmpl w:val="FDE251EE"/>
    <w:lvl w:ilvl="0" w:tplc="2AE878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BF13FC1"/>
    <w:multiLevelType w:val="multilevel"/>
    <w:tmpl w:val="B29CA74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C6A6510"/>
    <w:multiLevelType w:val="hybridMultilevel"/>
    <w:tmpl w:val="8CC8479A"/>
    <w:lvl w:ilvl="0" w:tplc="055842A6">
      <w:numFmt w:val="bullet"/>
      <w:lvlText w:val="-"/>
      <w:lvlJc w:val="left"/>
      <w:pPr>
        <w:ind w:left="3903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DA64A46"/>
    <w:multiLevelType w:val="hybridMultilevel"/>
    <w:tmpl w:val="AB22CCB0"/>
    <w:lvl w:ilvl="0" w:tplc="4E568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72283C"/>
    <w:multiLevelType w:val="hybridMultilevel"/>
    <w:tmpl w:val="97E014D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0"/>
  </w:num>
  <w:num w:numId="6">
    <w:abstractNumId w:val="14"/>
  </w:num>
  <w:num w:numId="7">
    <w:abstractNumId w:val="8"/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  <w:num w:numId="15">
    <w:abstractNumId w:val="5"/>
  </w:num>
  <w:num w:numId="16">
    <w:abstractNumId w:val="6"/>
  </w:num>
  <w:num w:numId="17">
    <w:abstractNumId w:val="16"/>
  </w:num>
  <w:num w:numId="18">
    <w:abstractNumId w:val="15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B6"/>
    <w:rsid w:val="0000095A"/>
    <w:rsid w:val="00002950"/>
    <w:rsid w:val="00002C24"/>
    <w:rsid w:val="00003D60"/>
    <w:rsid w:val="00005665"/>
    <w:rsid w:val="00005A06"/>
    <w:rsid w:val="00015200"/>
    <w:rsid w:val="00017BCA"/>
    <w:rsid w:val="000208FD"/>
    <w:rsid w:val="0002293C"/>
    <w:rsid w:val="000236F4"/>
    <w:rsid w:val="00025F58"/>
    <w:rsid w:val="00026304"/>
    <w:rsid w:val="00026732"/>
    <w:rsid w:val="00026C13"/>
    <w:rsid w:val="00030A62"/>
    <w:rsid w:val="00031A1C"/>
    <w:rsid w:val="0003275B"/>
    <w:rsid w:val="000353CE"/>
    <w:rsid w:val="00041558"/>
    <w:rsid w:val="000415E9"/>
    <w:rsid w:val="00043141"/>
    <w:rsid w:val="0004543F"/>
    <w:rsid w:val="0005160D"/>
    <w:rsid w:val="000517C7"/>
    <w:rsid w:val="00051AA3"/>
    <w:rsid w:val="0005320C"/>
    <w:rsid w:val="000558E5"/>
    <w:rsid w:val="00060259"/>
    <w:rsid w:val="00060E8B"/>
    <w:rsid w:val="000612FB"/>
    <w:rsid w:val="000616F3"/>
    <w:rsid w:val="00062632"/>
    <w:rsid w:val="00063CC6"/>
    <w:rsid w:val="00066A17"/>
    <w:rsid w:val="00067348"/>
    <w:rsid w:val="00070DD6"/>
    <w:rsid w:val="00071180"/>
    <w:rsid w:val="000716DF"/>
    <w:rsid w:val="00072AA8"/>
    <w:rsid w:val="00073B60"/>
    <w:rsid w:val="00083898"/>
    <w:rsid w:val="000871A0"/>
    <w:rsid w:val="0008784C"/>
    <w:rsid w:val="00091B55"/>
    <w:rsid w:val="000952DB"/>
    <w:rsid w:val="00095D58"/>
    <w:rsid w:val="0009643F"/>
    <w:rsid w:val="00097244"/>
    <w:rsid w:val="000A1595"/>
    <w:rsid w:val="000A2EA5"/>
    <w:rsid w:val="000A31EE"/>
    <w:rsid w:val="000B0047"/>
    <w:rsid w:val="000B0083"/>
    <w:rsid w:val="000B6666"/>
    <w:rsid w:val="000B7792"/>
    <w:rsid w:val="000C056E"/>
    <w:rsid w:val="000C0CB6"/>
    <w:rsid w:val="000C770A"/>
    <w:rsid w:val="000D04E0"/>
    <w:rsid w:val="000D0959"/>
    <w:rsid w:val="000D22ED"/>
    <w:rsid w:val="000D73E4"/>
    <w:rsid w:val="000D7712"/>
    <w:rsid w:val="000E1137"/>
    <w:rsid w:val="000E29F5"/>
    <w:rsid w:val="000E3DF3"/>
    <w:rsid w:val="000E6C82"/>
    <w:rsid w:val="000F0BD1"/>
    <w:rsid w:val="000F4856"/>
    <w:rsid w:val="000F5B6F"/>
    <w:rsid w:val="00100E81"/>
    <w:rsid w:val="00102811"/>
    <w:rsid w:val="00106006"/>
    <w:rsid w:val="00107CEE"/>
    <w:rsid w:val="00114311"/>
    <w:rsid w:val="00114D01"/>
    <w:rsid w:val="001154A3"/>
    <w:rsid w:val="00116597"/>
    <w:rsid w:val="00121B0F"/>
    <w:rsid w:val="001250BC"/>
    <w:rsid w:val="0012642B"/>
    <w:rsid w:val="00127B70"/>
    <w:rsid w:val="001318D4"/>
    <w:rsid w:val="001330A6"/>
    <w:rsid w:val="00135004"/>
    <w:rsid w:val="001379FB"/>
    <w:rsid w:val="00141450"/>
    <w:rsid w:val="00141752"/>
    <w:rsid w:val="00141757"/>
    <w:rsid w:val="00141969"/>
    <w:rsid w:val="00146203"/>
    <w:rsid w:val="00146A5C"/>
    <w:rsid w:val="00154166"/>
    <w:rsid w:val="00154C5E"/>
    <w:rsid w:val="00155380"/>
    <w:rsid w:val="0015760A"/>
    <w:rsid w:val="00160F7B"/>
    <w:rsid w:val="00161BBA"/>
    <w:rsid w:val="00163FA7"/>
    <w:rsid w:val="00166EA4"/>
    <w:rsid w:val="0017022A"/>
    <w:rsid w:val="0017072D"/>
    <w:rsid w:val="001709A5"/>
    <w:rsid w:val="00176B03"/>
    <w:rsid w:val="00177902"/>
    <w:rsid w:val="001838C0"/>
    <w:rsid w:val="00184222"/>
    <w:rsid w:val="00184E67"/>
    <w:rsid w:val="0018677F"/>
    <w:rsid w:val="0018721C"/>
    <w:rsid w:val="0018797E"/>
    <w:rsid w:val="001900EC"/>
    <w:rsid w:val="00192A20"/>
    <w:rsid w:val="001946CD"/>
    <w:rsid w:val="001A617B"/>
    <w:rsid w:val="001A663C"/>
    <w:rsid w:val="001B28EE"/>
    <w:rsid w:val="001B342F"/>
    <w:rsid w:val="001B7917"/>
    <w:rsid w:val="001C0811"/>
    <w:rsid w:val="001C23B8"/>
    <w:rsid w:val="001C277C"/>
    <w:rsid w:val="001C2A01"/>
    <w:rsid w:val="001C2A3F"/>
    <w:rsid w:val="001C40F9"/>
    <w:rsid w:val="001C57B8"/>
    <w:rsid w:val="001C6554"/>
    <w:rsid w:val="001C6B44"/>
    <w:rsid w:val="001C7903"/>
    <w:rsid w:val="001D1BEA"/>
    <w:rsid w:val="001D61F6"/>
    <w:rsid w:val="001D69D2"/>
    <w:rsid w:val="001D7A64"/>
    <w:rsid w:val="001E291C"/>
    <w:rsid w:val="001E467B"/>
    <w:rsid w:val="001E56C2"/>
    <w:rsid w:val="001E6C6B"/>
    <w:rsid w:val="001E7260"/>
    <w:rsid w:val="001F4CC3"/>
    <w:rsid w:val="001F7381"/>
    <w:rsid w:val="001F751B"/>
    <w:rsid w:val="002007BF"/>
    <w:rsid w:val="00203E11"/>
    <w:rsid w:val="002118BF"/>
    <w:rsid w:val="00212D73"/>
    <w:rsid w:val="00214287"/>
    <w:rsid w:val="00214491"/>
    <w:rsid w:val="00223387"/>
    <w:rsid w:val="00225155"/>
    <w:rsid w:val="00225266"/>
    <w:rsid w:val="0023002D"/>
    <w:rsid w:val="00232950"/>
    <w:rsid w:val="00233ECB"/>
    <w:rsid w:val="00234EE6"/>
    <w:rsid w:val="00236411"/>
    <w:rsid w:val="002376B4"/>
    <w:rsid w:val="002402FD"/>
    <w:rsid w:val="002441A7"/>
    <w:rsid w:val="002464FE"/>
    <w:rsid w:val="0025057B"/>
    <w:rsid w:val="00251BDE"/>
    <w:rsid w:val="00256134"/>
    <w:rsid w:val="00256984"/>
    <w:rsid w:val="00256F16"/>
    <w:rsid w:val="00257091"/>
    <w:rsid w:val="00261917"/>
    <w:rsid w:val="0027054C"/>
    <w:rsid w:val="00271100"/>
    <w:rsid w:val="002731FE"/>
    <w:rsid w:val="00273297"/>
    <w:rsid w:val="00274E97"/>
    <w:rsid w:val="00275E86"/>
    <w:rsid w:val="00277931"/>
    <w:rsid w:val="0028214D"/>
    <w:rsid w:val="002825EA"/>
    <w:rsid w:val="00282A87"/>
    <w:rsid w:val="002833F7"/>
    <w:rsid w:val="00286963"/>
    <w:rsid w:val="00291141"/>
    <w:rsid w:val="0029146B"/>
    <w:rsid w:val="0029220E"/>
    <w:rsid w:val="002931EC"/>
    <w:rsid w:val="00296ADD"/>
    <w:rsid w:val="002A31E9"/>
    <w:rsid w:val="002A3F42"/>
    <w:rsid w:val="002A4390"/>
    <w:rsid w:val="002A4CB5"/>
    <w:rsid w:val="002A6002"/>
    <w:rsid w:val="002B22F2"/>
    <w:rsid w:val="002B2D06"/>
    <w:rsid w:val="002B442C"/>
    <w:rsid w:val="002B5B0D"/>
    <w:rsid w:val="002B674A"/>
    <w:rsid w:val="002C1CE9"/>
    <w:rsid w:val="002C2DF3"/>
    <w:rsid w:val="002C372C"/>
    <w:rsid w:val="002D0EA0"/>
    <w:rsid w:val="002D3AD9"/>
    <w:rsid w:val="002E0A71"/>
    <w:rsid w:val="002E4679"/>
    <w:rsid w:val="002E61DE"/>
    <w:rsid w:val="002E7772"/>
    <w:rsid w:val="002E7A0D"/>
    <w:rsid w:val="002F004C"/>
    <w:rsid w:val="002F0935"/>
    <w:rsid w:val="002F1E45"/>
    <w:rsid w:val="002F3100"/>
    <w:rsid w:val="002F33D3"/>
    <w:rsid w:val="002F359F"/>
    <w:rsid w:val="00301379"/>
    <w:rsid w:val="0030367A"/>
    <w:rsid w:val="00312AAA"/>
    <w:rsid w:val="0031357D"/>
    <w:rsid w:val="003177DB"/>
    <w:rsid w:val="00320B54"/>
    <w:rsid w:val="00320FC1"/>
    <w:rsid w:val="00321B57"/>
    <w:rsid w:val="003276BC"/>
    <w:rsid w:val="0032774B"/>
    <w:rsid w:val="00333983"/>
    <w:rsid w:val="003361BF"/>
    <w:rsid w:val="00337C0C"/>
    <w:rsid w:val="003413F8"/>
    <w:rsid w:val="003458AA"/>
    <w:rsid w:val="00345941"/>
    <w:rsid w:val="00346165"/>
    <w:rsid w:val="00347CE0"/>
    <w:rsid w:val="00350099"/>
    <w:rsid w:val="00350D51"/>
    <w:rsid w:val="003525AB"/>
    <w:rsid w:val="00354314"/>
    <w:rsid w:val="003543B4"/>
    <w:rsid w:val="00356AB1"/>
    <w:rsid w:val="00356B2F"/>
    <w:rsid w:val="0036472B"/>
    <w:rsid w:val="00365094"/>
    <w:rsid w:val="003670DA"/>
    <w:rsid w:val="003714C7"/>
    <w:rsid w:val="00373703"/>
    <w:rsid w:val="00373716"/>
    <w:rsid w:val="00373DEC"/>
    <w:rsid w:val="00382068"/>
    <w:rsid w:val="0038225A"/>
    <w:rsid w:val="0038255F"/>
    <w:rsid w:val="00385305"/>
    <w:rsid w:val="0038561B"/>
    <w:rsid w:val="00387FE5"/>
    <w:rsid w:val="00391028"/>
    <w:rsid w:val="003912B5"/>
    <w:rsid w:val="003A113F"/>
    <w:rsid w:val="003A119D"/>
    <w:rsid w:val="003A228D"/>
    <w:rsid w:val="003A3941"/>
    <w:rsid w:val="003A5B3D"/>
    <w:rsid w:val="003A7205"/>
    <w:rsid w:val="003B0708"/>
    <w:rsid w:val="003B094B"/>
    <w:rsid w:val="003B2C07"/>
    <w:rsid w:val="003B410A"/>
    <w:rsid w:val="003B4F02"/>
    <w:rsid w:val="003B76E1"/>
    <w:rsid w:val="003B7889"/>
    <w:rsid w:val="003C16D7"/>
    <w:rsid w:val="003C5655"/>
    <w:rsid w:val="003C7367"/>
    <w:rsid w:val="003C7E7C"/>
    <w:rsid w:val="003D051B"/>
    <w:rsid w:val="003D1374"/>
    <w:rsid w:val="003D690A"/>
    <w:rsid w:val="003D6DB7"/>
    <w:rsid w:val="003E3423"/>
    <w:rsid w:val="003E3FCB"/>
    <w:rsid w:val="003E709C"/>
    <w:rsid w:val="003E726A"/>
    <w:rsid w:val="003E79FB"/>
    <w:rsid w:val="003E7E40"/>
    <w:rsid w:val="003F0091"/>
    <w:rsid w:val="003F0BFC"/>
    <w:rsid w:val="003F2D5C"/>
    <w:rsid w:val="003F48AE"/>
    <w:rsid w:val="003F645B"/>
    <w:rsid w:val="0040025F"/>
    <w:rsid w:val="00400959"/>
    <w:rsid w:val="004028C2"/>
    <w:rsid w:val="0040630C"/>
    <w:rsid w:val="00406838"/>
    <w:rsid w:val="004075F5"/>
    <w:rsid w:val="0041198E"/>
    <w:rsid w:val="004171E0"/>
    <w:rsid w:val="004213C0"/>
    <w:rsid w:val="004217F8"/>
    <w:rsid w:val="004258AF"/>
    <w:rsid w:val="00425D24"/>
    <w:rsid w:val="004261CB"/>
    <w:rsid w:val="00431E30"/>
    <w:rsid w:val="0043227B"/>
    <w:rsid w:val="00434A47"/>
    <w:rsid w:val="00434B1A"/>
    <w:rsid w:val="004363EE"/>
    <w:rsid w:val="00437364"/>
    <w:rsid w:val="00444745"/>
    <w:rsid w:val="00453EF1"/>
    <w:rsid w:val="00454B6D"/>
    <w:rsid w:val="00461665"/>
    <w:rsid w:val="00461898"/>
    <w:rsid w:val="00462BAD"/>
    <w:rsid w:val="00467221"/>
    <w:rsid w:val="00473D67"/>
    <w:rsid w:val="0047561F"/>
    <w:rsid w:val="004768CA"/>
    <w:rsid w:val="004777E8"/>
    <w:rsid w:val="004835F6"/>
    <w:rsid w:val="00484556"/>
    <w:rsid w:val="00486C72"/>
    <w:rsid w:val="004908E2"/>
    <w:rsid w:val="00494268"/>
    <w:rsid w:val="00495BD0"/>
    <w:rsid w:val="00496D73"/>
    <w:rsid w:val="004A09D5"/>
    <w:rsid w:val="004A2236"/>
    <w:rsid w:val="004A2366"/>
    <w:rsid w:val="004A4137"/>
    <w:rsid w:val="004A60E8"/>
    <w:rsid w:val="004B03C8"/>
    <w:rsid w:val="004B10AA"/>
    <w:rsid w:val="004B4182"/>
    <w:rsid w:val="004B4C8B"/>
    <w:rsid w:val="004B5D88"/>
    <w:rsid w:val="004B6CE8"/>
    <w:rsid w:val="004B7BF8"/>
    <w:rsid w:val="004C00A3"/>
    <w:rsid w:val="004C2AFB"/>
    <w:rsid w:val="004C3135"/>
    <w:rsid w:val="004C54DD"/>
    <w:rsid w:val="004C57E1"/>
    <w:rsid w:val="004C6799"/>
    <w:rsid w:val="004C7ED3"/>
    <w:rsid w:val="004D2E05"/>
    <w:rsid w:val="004D385A"/>
    <w:rsid w:val="004E3FB6"/>
    <w:rsid w:val="004E5268"/>
    <w:rsid w:val="004E6204"/>
    <w:rsid w:val="004F1116"/>
    <w:rsid w:val="00504527"/>
    <w:rsid w:val="00504696"/>
    <w:rsid w:val="005049F9"/>
    <w:rsid w:val="00505CE9"/>
    <w:rsid w:val="0051017E"/>
    <w:rsid w:val="0051326B"/>
    <w:rsid w:val="0052070A"/>
    <w:rsid w:val="00521FE7"/>
    <w:rsid w:val="005242D0"/>
    <w:rsid w:val="0052435D"/>
    <w:rsid w:val="00524A8F"/>
    <w:rsid w:val="00525E56"/>
    <w:rsid w:val="00531D00"/>
    <w:rsid w:val="00531D27"/>
    <w:rsid w:val="00533B67"/>
    <w:rsid w:val="005343E9"/>
    <w:rsid w:val="00535FC6"/>
    <w:rsid w:val="00537EFD"/>
    <w:rsid w:val="00543284"/>
    <w:rsid w:val="00547488"/>
    <w:rsid w:val="00550349"/>
    <w:rsid w:val="00550A09"/>
    <w:rsid w:val="0055261B"/>
    <w:rsid w:val="005561FE"/>
    <w:rsid w:val="005567E1"/>
    <w:rsid w:val="00560B4C"/>
    <w:rsid w:val="00560F8D"/>
    <w:rsid w:val="005752E2"/>
    <w:rsid w:val="0057561C"/>
    <w:rsid w:val="005761D3"/>
    <w:rsid w:val="00576265"/>
    <w:rsid w:val="00580EC2"/>
    <w:rsid w:val="005838F3"/>
    <w:rsid w:val="00583997"/>
    <w:rsid w:val="00583AFD"/>
    <w:rsid w:val="00585ADD"/>
    <w:rsid w:val="00590212"/>
    <w:rsid w:val="00590790"/>
    <w:rsid w:val="0059204F"/>
    <w:rsid w:val="0059354C"/>
    <w:rsid w:val="005940D0"/>
    <w:rsid w:val="005A00B4"/>
    <w:rsid w:val="005A340E"/>
    <w:rsid w:val="005B08D3"/>
    <w:rsid w:val="005B15A2"/>
    <w:rsid w:val="005B39AD"/>
    <w:rsid w:val="005B3C08"/>
    <w:rsid w:val="005B3EAF"/>
    <w:rsid w:val="005B462A"/>
    <w:rsid w:val="005C5DC5"/>
    <w:rsid w:val="005C6B5B"/>
    <w:rsid w:val="005D029E"/>
    <w:rsid w:val="005D0A3F"/>
    <w:rsid w:val="005D0DDA"/>
    <w:rsid w:val="005D2FB3"/>
    <w:rsid w:val="005D7D6E"/>
    <w:rsid w:val="005E515E"/>
    <w:rsid w:val="005E6F08"/>
    <w:rsid w:val="005E7853"/>
    <w:rsid w:val="005F17C4"/>
    <w:rsid w:val="005F1CE3"/>
    <w:rsid w:val="005F38FA"/>
    <w:rsid w:val="005F47E3"/>
    <w:rsid w:val="005F54D7"/>
    <w:rsid w:val="005F5D94"/>
    <w:rsid w:val="005F6C14"/>
    <w:rsid w:val="00600F22"/>
    <w:rsid w:val="00604F5F"/>
    <w:rsid w:val="0060565E"/>
    <w:rsid w:val="00612516"/>
    <w:rsid w:val="00616946"/>
    <w:rsid w:val="00620CA4"/>
    <w:rsid w:val="00620ECD"/>
    <w:rsid w:val="00621403"/>
    <w:rsid w:val="00622226"/>
    <w:rsid w:val="00623BD7"/>
    <w:rsid w:val="00624312"/>
    <w:rsid w:val="00627296"/>
    <w:rsid w:val="0062770F"/>
    <w:rsid w:val="00630542"/>
    <w:rsid w:val="0063138C"/>
    <w:rsid w:val="0063199D"/>
    <w:rsid w:val="00632388"/>
    <w:rsid w:val="00634DBE"/>
    <w:rsid w:val="006369E7"/>
    <w:rsid w:val="00637975"/>
    <w:rsid w:val="00645598"/>
    <w:rsid w:val="006501D5"/>
    <w:rsid w:val="00650F34"/>
    <w:rsid w:val="006552E5"/>
    <w:rsid w:val="0065721A"/>
    <w:rsid w:val="00661497"/>
    <w:rsid w:val="006702DE"/>
    <w:rsid w:val="00672DFD"/>
    <w:rsid w:val="00673819"/>
    <w:rsid w:val="006748F4"/>
    <w:rsid w:val="006805E4"/>
    <w:rsid w:val="006813D2"/>
    <w:rsid w:val="006841FD"/>
    <w:rsid w:val="0069022E"/>
    <w:rsid w:val="0069226F"/>
    <w:rsid w:val="006A0A96"/>
    <w:rsid w:val="006A47BF"/>
    <w:rsid w:val="006A6221"/>
    <w:rsid w:val="006A62CF"/>
    <w:rsid w:val="006B03DB"/>
    <w:rsid w:val="006B140B"/>
    <w:rsid w:val="006B2106"/>
    <w:rsid w:val="006B2177"/>
    <w:rsid w:val="006B4EA1"/>
    <w:rsid w:val="006B6A7E"/>
    <w:rsid w:val="006C00DD"/>
    <w:rsid w:val="006C1198"/>
    <w:rsid w:val="006C1F81"/>
    <w:rsid w:val="006C2025"/>
    <w:rsid w:val="006C642C"/>
    <w:rsid w:val="006C70E4"/>
    <w:rsid w:val="006C7E02"/>
    <w:rsid w:val="006D47CB"/>
    <w:rsid w:val="006D57A0"/>
    <w:rsid w:val="006D65FC"/>
    <w:rsid w:val="006D6938"/>
    <w:rsid w:val="006E0D18"/>
    <w:rsid w:val="006E378D"/>
    <w:rsid w:val="006E399E"/>
    <w:rsid w:val="006E6EA8"/>
    <w:rsid w:val="006F2F70"/>
    <w:rsid w:val="006F5FEA"/>
    <w:rsid w:val="006F639B"/>
    <w:rsid w:val="007011D9"/>
    <w:rsid w:val="00701464"/>
    <w:rsid w:val="00710F1B"/>
    <w:rsid w:val="00711E2E"/>
    <w:rsid w:val="00716697"/>
    <w:rsid w:val="00716EB5"/>
    <w:rsid w:val="00717DAF"/>
    <w:rsid w:val="00720028"/>
    <w:rsid w:val="007209B7"/>
    <w:rsid w:val="00722FA1"/>
    <w:rsid w:val="007247B9"/>
    <w:rsid w:val="00724B7E"/>
    <w:rsid w:val="007257B6"/>
    <w:rsid w:val="00726E04"/>
    <w:rsid w:val="007309FA"/>
    <w:rsid w:val="00733064"/>
    <w:rsid w:val="007424F9"/>
    <w:rsid w:val="00744462"/>
    <w:rsid w:val="00744645"/>
    <w:rsid w:val="00750AD8"/>
    <w:rsid w:val="007542B0"/>
    <w:rsid w:val="00756C3B"/>
    <w:rsid w:val="007574F4"/>
    <w:rsid w:val="00762CF7"/>
    <w:rsid w:val="00764EFE"/>
    <w:rsid w:val="007653B7"/>
    <w:rsid w:val="00765861"/>
    <w:rsid w:val="00766793"/>
    <w:rsid w:val="00767C5A"/>
    <w:rsid w:val="00767E2D"/>
    <w:rsid w:val="00774213"/>
    <w:rsid w:val="00775321"/>
    <w:rsid w:val="007753C9"/>
    <w:rsid w:val="00781581"/>
    <w:rsid w:val="00781C74"/>
    <w:rsid w:val="0078346F"/>
    <w:rsid w:val="00790836"/>
    <w:rsid w:val="00794DEE"/>
    <w:rsid w:val="0079766D"/>
    <w:rsid w:val="007A2081"/>
    <w:rsid w:val="007B4376"/>
    <w:rsid w:val="007B6875"/>
    <w:rsid w:val="007C406B"/>
    <w:rsid w:val="007C61B3"/>
    <w:rsid w:val="007D01BE"/>
    <w:rsid w:val="007D043C"/>
    <w:rsid w:val="007D11C6"/>
    <w:rsid w:val="007D72A3"/>
    <w:rsid w:val="007E142F"/>
    <w:rsid w:val="007E55F5"/>
    <w:rsid w:val="007E573B"/>
    <w:rsid w:val="007E6D21"/>
    <w:rsid w:val="007F1C07"/>
    <w:rsid w:val="007F4CA4"/>
    <w:rsid w:val="007F62A2"/>
    <w:rsid w:val="007F6D0E"/>
    <w:rsid w:val="00801B3F"/>
    <w:rsid w:val="00804250"/>
    <w:rsid w:val="0080473D"/>
    <w:rsid w:val="0080479E"/>
    <w:rsid w:val="00805045"/>
    <w:rsid w:val="008062E2"/>
    <w:rsid w:val="00812B5E"/>
    <w:rsid w:val="00813AA3"/>
    <w:rsid w:val="00814122"/>
    <w:rsid w:val="0081429B"/>
    <w:rsid w:val="008162B8"/>
    <w:rsid w:val="008220EB"/>
    <w:rsid w:val="00830A66"/>
    <w:rsid w:val="00831A42"/>
    <w:rsid w:val="00833030"/>
    <w:rsid w:val="00833F77"/>
    <w:rsid w:val="00836B6C"/>
    <w:rsid w:val="0083700E"/>
    <w:rsid w:val="00840751"/>
    <w:rsid w:val="00844C9C"/>
    <w:rsid w:val="008451F7"/>
    <w:rsid w:val="00847DE5"/>
    <w:rsid w:val="008505DE"/>
    <w:rsid w:val="00850DCC"/>
    <w:rsid w:val="00852632"/>
    <w:rsid w:val="00860071"/>
    <w:rsid w:val="008619BE"/>
    <w:rsid w:val="00861B91"/>
    <w:rsid w:val="00863173"/>
    <w:rsid w:val="00864490"/>
    <w:rsid w:val="008644B3"/>
    <w:rsid w:val="00865BD0"/>
    <w:rsid w:val="008660AA"/>
    <w:rsid w:val="00866987"/>
    <w:rsid w:val="008676E5"/>
    <w:rsid w:val="00871097"/>
    <w:rsid w:val="008716F1"/>
    <w:rsid w:val="008717D2"/>
    <w:rsid w:val="00874F46"/>
    <w:rsid w:val="0087643D"/>
    <w:rsid w:val="00880083"/>
    <w:rsid w:val="00884786"/>
    <w:rsid w:val="008879C1"/>
    <w:rsid w:val="008912A0"/>
    <w:rsid w:val="00894A34"/>
    <w:rsid w:val="008A18B1"/>
    <w:rsid w:val="008A34F7"/>
    <w:rsid w:val="008A66B9"/>
    <w:rsid w:val="008B2D8E"/>
    <w:rsid w:val="008C31E8"/>
    <w:rsid w:val="008C3E07"/>
    <w:rsid w:val="008C4D27"/>
    <w:rsid w:val="008D02D3"/>
    <w:rsid w:val="008D52F0"/>
    <w:rsid w:val="008D55DD"/>
    <w:rsid w:val="008E08A4"/>
    <w:rsid w:val="008E1304"/>
    <w:rsid w:val="008E1564"/>
    <w:rsid w:val="008E66C3"/>
    <w:rsid w:val="008F07F5"/>
    <w:rsid w:val="008F0987"/>
    <w:rsid w:val="008F1C45"/>
    <w:rsid w:val="008F2347"/>
    <w:rsid w:val="008F34DD"/>
    <w:rsid w:val="008F5B0B"/>
    <w:rsid w:val="008F68A8"/>
    <w:rsid w:val="008F7894"/>
    <w:rsid w:val="00900AF7"/>
    <w:rsid w:val="009015A7"/>
    <w:rsid w:val="00901EC6"/>
    <w:rsid w:val="009037E9"/>
    <w:rsid w:val="009130E8"/>
    <w:rsid w:val="009134E5"/>
    <w:rsid w:val="009168AA"/>
    <w:rsid w:val="009179B1"/>
    <w:rsid w:val="00920D02"/>
    <w:rsid w:val="00932E9E"/>
    <w:rsid w:val="00935319"/>
    <w:rsid w:val="009445CB"/>
    <w:rsid w:val="00945DEC"/>
    <w:rsid w:val="00946F1C"/>
    <w:rsid w:val="00956EEF"/>
    <w:rsid w:val="00957C04"/>
    <w:rsid w:val="00963043"/>
    <w:rsid w:val="009643F5"/>
    <w:rsid w:val="0096514E"/>
    <w:rsid w:val="009673FF"/>
    <w:rsid w:val="00973AA0"/>
    <w:rsid w:val="00974914"/>
    <w:rsid w:val="00974D81"/>
    <w:rsid w:val="009769FA"/>
    <w:rsid w:val="00977769"/>
    <w:rsid w:val="0098169D"/>
    <w:rsid w:val="0098171D"/>
    <w:rsid w:val="00987EEC"/>
    <w:rsid w:val="0099142A"/>
    <w:rsid w:val="00993A2D"/>
    <w:rsid w:val="00994B13"/>
    <w:rsid w:val="00994EEE"/>
    <w:rsid w:val="009977F8"/>
    <w:rsid w:val="009A2F51"/>
    <w:rsid w:val="009A7AB8"/>
    <w:rsid w:val="009A7B6E"/>
    <w:rsid w:val="009B05AC"/>
    <w:rsid w:val="009B5D0E"/>
    <w:rsid w:val="009C098B"/>
    <w:rsid w:val="009C471B"/>
    <w:rsid w:val="009D6D0D"/>
    <w:rsid w:val="009D7795"/>
    <w:rsid w:val="009E00E2"/>
    <w:rsid w:val="009E1667"/>
    <w:rsid w:val="009E3175"/>
    <w:rsid w:val="009E341E"/>
    <w:rsid w:val="009F1EF5"/>
    <w:rsid w:val="009F27BD"/>
    <w:rsid w:val="009F6B4D"/>
    <w:rsid w:val="00A0372F"/>
    <w:rsid w:val="00A040AD"/>
    <w:rsid w:val="00A053EB"/>
    <w:rsid w:val="00A0658F"/>
    <w:rsid w:val="00A067AA"/>
    <w:rsid w:val="00A13380"/>
    <w:rsid w:val="00A146C1"/>
    <w:rsid w:val="00A14DCC"/>
    <w:rsid w:val="00A16AAF"/>
    <w:rsid w:val="00A20236"/>
    <w:rsid w:val="00A2031F"/>
    <w:rsid w:val="00A21C66"/>
    <w:rsid w:val="00A24536"/>
    <w:rsid w:val="00A30EFF"/>
    <w:rsid w:val="00A326C1"/>
    <w:rsid w:val="00A37AE9"/>
    <w:rsid w:val="00A40D07"/>
    <w:rsid w:val="00A4169E"/>
    <w:rsid w:val="00A446B0"/>
    <w:rsid w:val="00A44950"/>
    <w:rsid w:val="00A4501E"/>
    <w:rsid w:val="00A4513E"/>
    <w:rsid w:val="00A46E97"/>
    <w:rsid w:val="00A507CA"/>
    <w:rsid w:val="00A60302"/>
    <w:rsid w:val="00A6156F"/>
    <w:rsid w:val="00A61E4E"/>
    <w:rsid w:val="00A62905"/>
    <w:rsid w:val="00A6306B"/>
    <w:rsid w:val="00A6369A"/>
    <w:rsid w:val="00A66862"/>
    <w:rsid w:val="00A66B86"/>
    <w:rsid w:val="00A70953"/>
    <w:rsid w:val="00A7144E"/>
    <w:rsid w:val="00A7451B"/>
    <w:rsid w:val="00A769A3"/>
    <w:rsid w:val="00A77D4D"/>
    <w:rsid w:val="00A826B7"/>
    <w:rsid w:val="00A836E6"/>
    <w:rsid w:val="00A83EB4"/>
    <w:rsid w:val="00A8489D"/>
    <w:rsid w:val="00A87AB1"/>
    <w:rsid w:val="00A9431D"/>
    <w:rsid w:val="00A96F04"/>
    <w:rsid w:val="00AA1A1B"/>
    <w:rsid w:val="00AA23BC"/>
    <w:rsid w:val="00AA24AD"/>
    <w:rsid w:val="00AA4587"/>
    <w:rsid w:val="00AA4850"/>
    <w:rsid w:val="00AA4ADE"/>
    <w:rsid w:val="00AB28B7"/>
    <w:rsid w:val="00AB3E63"/>
    <w:rsid w:val="00AB4861"/>
    <w:rsid w:val="00AB71EE"/>
    <w:rsid w:val="00AC4348"/>
    <w:rsid w:val="00AC5BF5"/>
    <w:rsid w:val="00AC6E29"/>
    <w:rsid w:val="00AE2999"/>
    <w:rsid w:val="00AE2F19"/>
    <w:rsid w:val="00AE4145"/>
    <w:rsid w:val="00AE6AB5"/>
    <w:rsid w:val="00AE73E7"/>
    <w:rsid w:val="00AE783B"/>
    <w:rsid w:val="00AF0155"/>
    <w:rsid w:val="00AF0462"/>
    <w:rsid w:val="00AF07C6"/>
    <w:rsid w:val="00AF4F51"/>
    <w:rsid w:val="00B009B6"/>
    <w:rsid w:val="00B03E0C"/>
    <w:rsid w:val="00B10AA4"/>
    <w:rsid w:val="00B11827"/>
    <w:rsid w:val="00B159DD"/>
    <w:rsid w:val="00B16F7D"/>
    <w:rsid w:val="00B17FB7"/>
    <w:rsid w:val="00B21003"/>
    <w:rsid w:val="00B229B5"/>
    <w:rsid w:val="00B273C3"/>
    <w:rsid w:val="00B27610"/>
    <w:rsid w:val="00B35448"/>
    <w:rsid w:val="00B35FA3"/>
    <w:rsid w:val="00B36691"/>
    <w:rsid w:val="00B40894"/>
    <w:rsid w:val="00B40E57"/>
    <w:rsid w:val="00B41BAD"/>
    <w:rsid w:val="00B41F69"/>
    <w:rsid w:val="00B45C1E"/>
    <w:rsid w:val="00B50DBD"/>
    <w:rsid w:val="00B53BCD"/>
    <w:rsid w:val="00B65BF6"/>
    <w:rsid w:val="00B65E0A"/>
    <w:rsid w:val="00B662A3"/>
    <w:rsid w:val="00B71C12"/>
    <w:rsid w:val="00B721D6"/>
    <w:rsid w:val="00B73147"/>
    <w:rsid w:val="00B77BAE"/>
    <w:rsid w:val="00B811E8"/>
    <w:rsid w:val="00B8317A"/>
    <w:rsid w:val="00B84BA9"/>
    <w:rsid w:val="00B8709A"/>
    <w:rsid w:val="00B908B1"/>
    <w:rsid w:val="00B90BA6"/>
    <w:rsid w:val="00B93456"/>
    <w:rsid w:val="00B93721"/>
    <w:rsid w:val="00B93C04"/>
    <w:rsid w:val="00B9419E"/>
    <w:rsid w:val="00BA0F72"/>
    <w:rsid w:val="00BA3169"/>
    <w:rsid w:val="00BA3BA0"/>
    <w:rsid w:val="00BB00DA"/>
    <w:rsid w:val="00BB16E9"/>
    <w:rsid w:val="00BB34D5"/>
    <w:rsid w:val="00BB3B60"/>
    <w:rsid w:val="00BB4124"/>
    <w:rsid w:val="00BB439C"/>
    <w:rsid w:val="00BB58D2"/>
    <w:rsid w:val="00BC04C8"/>
    <w:rsid w:val="00BC3943"/>
    <w:rsid w:val="00BC3965"/>
    <w:rsid w:val="00BC7B75"/>
    <w:rsid w:val="00BD1364"/>
    <w:rsid w:val="00BD24F6"/>
    <w:rsid w:val="00BD2A59"/>
    <w:rsid w:val="00BD7DD5"/>
    <w:rsid w:val="00BE1383"/>
    <w:rsid w:val="00BE1F7C"/>
    <w:rsid w:val="00BE364B"/>
    <w:rsid w:val="00BE6189"/>
    <w:rsid w:val="00BF04F0"/>
    <w:rsid w:val="00BF2A27"/>
    <w:rsid w:val="00BF3E83"/>
    <w:rsid w:val="00BF4565"/>
    <w:rsid w:val="00BF46A5"/>
    <w:rsid w:val="00C022FA"/>
    <w:rsid w:val="00C02BB5"/>
    <w:rsid w:val="00C02E1E"/>
    <w:rsid w:val="00C1120D"/>
    <w:rsid w:val="00C11C8B"/>
    <w:rsid w:val="00C1334F"/>
    <w:rsid w:val="00C15EF9"/>
    <w:rsid w:val="00C248D2"/>
    <w:rsid w:val="00C26CCF"/>
    <w:rsid w:val="00C27870"/>
    <w:rsid w:val="00C27B07"/>
    <w:rsid w:val="00C3284A"/>
    <w:rsid w:val="00C33674"/>
    <w:rsid w:val="00C35CAE"/>
    <w:rsid w:val="00C36955"/>
    <w:rsid w:val="00C44E2F"/>
    <w:rsid w:val="00C45A7E"/>
    <w:rsid w:val="00C51EDD"/>
    <w:rsid w:val="00C55CA1"/>
    <w:rsid w:val="00C57DBA"/>
    <w:rsid w:val="00C60DBF"/>
    <w:rsid w:val="00C61BF3"/>
    <w:rsid w:val="00C62973"/>
    <w:rsid w:val="00C63645"/>
    <w:rsid w:val="00C64536"/>
    <w:rsid w:val="00C65E22"/>
    <w:rsid w:val="00C6761F"/>
    <w:rsid w:val="00C7352D"/>
    <w:rsid w:val="00C760AA"/>
    <w:rsid w:val="00C824D3"/>
    <w:rsid w:val="00C83973"/>
    <w:rsid w:val="00C84335"/>
    <w:rsid w:val="00C85B2A"/>
    <w:rsid w:val="00C948F9"/>
    <w:rsid w:val="00C96DF8"/>
    <w:rsid w:val="00C96E52"/>
    <w:rsid w:val="00CA096B"/>
    <w:rsid w:val="00CA5000"/>
    <w:rsid w:val="00CA5191"/>
    <w:rsid w:val="00CA6807"/>
    <w:rsid w:val="00CB2FAF"/>
    <w:rsid w:val="00CB7356"/>
    <w:rsid w:val="00CC065F"/>
    <w:rsid w:val="00CC0C1F"/>
    <w:rsid w:val="00CC47C1"/>
    <w:rsid w:val="00CC5149"/>
    <w:rsid w:val="00CC5829"/>
    <w:rsid w:val="00CD1508"/>
    <w:rsid w:val="00CD1B82"/>
    <w:rsid w:val="00CD45D0"/>
    <w:rsid w:val="00CE3A1D"/>
    <w:rsid w:val="00CE68A7"/>
    <w:rsid w:val="00CF1EB9"/>
    <w:rsid w:val="00CF4785"/>
    <w:rsid w:val="00CF6A80"/>
    <w:rsid w:val="00CF7B4A"/>
    <w:rsid w:val="00D0413A"/>
    <w:rsid w:val="00D12BF9"/>
    <w:rsid w:val="00D14318"/>
    <w:rsid w:val="00D20BC9"/>
    <w:rsid w:val="00D21439"/>
    <w:rsid w:val="00D217B8"/>
    <w:rsid w:val="00D218B9"/>
    <w:rsid w:val="00D21F75"/>
    <w:rsid w:val="00D23224"/>
    <w:rsid w:val="00D250BD"/>
    <w:rsid w:val="00D259C6"/>
    <w:rsid w:val="00D26D77"/>
    <w:rsid w:val="00D3195F"/>
    <w:rsid w:val="00D368C0"/>
    <w:rsid w:val="00D36EB9"/>
    <w:rsid w:val="00D455C5"/>
    <w:rsid w:val="00D509C7"/>
    <w:rsid w:val="00D5185A"/>
    <w:rsid w:val="00D548C1"/>
    <w:rsid w:val="00D57D1D"/>
    <w:rsid w:val="00D668D5"/>
    <w:rsid w:val="00D6690A"/>
    <w:rsid w:val="00D70121"/>
    <w:rsid w:val="00D74FB4"/>
    <w:rsid w:val="00D75E60"/>
    <w:rsid w:val="00D765F0"/>
    <w:rsid w:val="00D86078"/>
    <w:rsid w:val="00D90621"/>
    <w:rsid w:val="00D919B6"/>
    <w:rsid w:val="00D95640"/>
    <w:rsid w:val="00D97A29"/>
    <w:rsid w:val="00DA1355"/>
    <w:rsid w:val="00DA229D"/>
    <w:rsid w:val="00DA2BC4"/>
    <w:rsid w:val="00DB16E8"/>
    <w:rsid w:val="00DB2750"/>
    <w:rsid w:val="00DB30C3"/>
    <w:rsid w:val="00DB5771"/>
    <w:rsid w:val="00DB5B29"/>
    <w:rsid w:val="00DB6604"/>
    <w:rsid w:val="00DC22F1"/>
    <w:rsid w:val="00DC3ACB"/>
    <w:rsid w:val="00DD0927"/>
    <w:rsid w:val="00DD1622"/>
    <w:rsid w:val="00DD6E44"/>
    <w:rsid w:val="00DE2967"/>
    <w:rsid w:val="00DE3C89"/>
    <w:rsid w:val="00DE3F33"/>
    <w:rsid w:val="00DE7DB1"/>
    <w:rsid w:val="00DF31FD"/>
    <w:rsid w:val="00DF409A"/>
    <w:rsid w:val="00DF4896"/>
    <w:rsid w:val="00DF731E"/>
    <w:rsid w:val="00E0032F"/>
    <w:rsid w:val="00E00BD1"/>
    <w:rsid w:val="00E0515D"/>
    <w:rsid w:val="00E07681"/>
    <w:rsid w:val="00E12C1A"/>
    <w:rsid w:val="00E12D60"/>
    <w:rsid w:val="00E13C5D"/>
    <w:rsid w:val="00E1474B"/>
    <w:rsid w:val="00E17F43"/>
    <w:rsid w:val="00E20A88"/>
    <w:rsid w:val="00E21111"/>
    <w:rsid w:val="00E22B50"/>
    <w:rsid w:val="00E22FF7"/>
    <w:rsid w:val="00E23550"/>
    <w:rsid w:val="00E24851"/>
    <w:rsid w:val="00E24DD6"/>
    <w:rsid w:val="00E256CF"/>
    <w:rsid w:val="00E25ED5"/>
    <w:rsid w:val="00E269EC"/>
    <w:rsid w:val="00E35F3F"/>
    <w:rsid w:val="00E361F6"/>
    <w:rsid w:val="00E368A6"/>
    <w:rsid w:val="00E36CAD"/>
    <w:rsid w:val="00E36DAD"/>
    <w:rsid w:val="00E415AE"/>
    <w:rsid w:val="00E4538F"/>
    <w:rsid w:val="00E50258"/>
    <w:rsid w:val="00E52DDC"/>
    <w:rsid w:val="00E6260D"/>
    <w:rsid w:val="00E62BD1"/>
    <w:rsid w:val="00E6562E"/>
    <w:rsid w:val="00E65696"/>
    <w:rsid w:val="00E715F5"/>
    <w:rsid w:val="00E72EA7"/>
    <w:rsid w:val="00E759D8"/>
    <w:rsid w:val="00E77488"/>
    <w:rsid w:val="00E812AF"/>
    <w:rsid w:val="00E8256C"/>
    <w:rsid w:val="00E829FC"/>
    <w:rsid w:val="00E86B98"/>
    <w:rsid w:val="00E87D63"/>
    <w:rsid w:val="00E902E8"/>
    <w:rsid w:val="00E9166E"/>
    <w:rsid w:val="00E91E23"/>
    <w:rsid w:val="00E9208B"/>
    <w:rsid w:val="00E941D1"/>
    <w:rsid w:val="00E967A6"/>
    <w:rsid w:val="00EA150C"/>
    <w:rsid w:val="00EA3BA9"/>
    <w:rsid w:val="00EA5D4F"/>
    <w:rsid w:val="00EA642A"/>
    <w:rsid w:val="00EB0642"/>
    <w:rsid w:val="00EB1F4D"/>
    <w:rsid w:val="00EB2AE2"/>
    <w:rsid w:val="00EB4840"/>
    <w:rsid w:val="00EB6113"/>
    <w:rsid w:val="00EB625D"/>
    <w:rsid w:val="00EC4473"/>
    <w:rsid w:val="00EC4857"/>
    <w:rsid w:val="00EC4AE3"/>
    <w:rsid w:val="00ED3965"/>
    <w:rsid w:val="00ED4D69"/>
    <w:rsid w:val="00ED6F49"/>
    <w:rsid w:val="00EE3E7C"/>
    <w:rsid w:val="00EF0E5A"/>
    <w:rsid w:val="00EF5E74"/>
    <w:rsid w:val="00EF74D3"/>
    <w:rsid w:val="00F02397"/>
    <w:rsid w:val="00F02AE6"/>
    <w:rsid w:val="00F10C79"/>
    <w:rsid w:val="00F1262D"/>
    <w:rsid w:val="00F22579"/>
    <w:rsid w:val="00F239F9"/>
    <w:rsid w:val="00F272B1"/>
    <w:rsid w:val="00F2748D"/>
    <w:rsid w:val="00F31C7E"/>
    <w:rsid w:val="00F3453A"/>
    <w:rsid w:val="00F3761C"/>
    <w:rsid w:val="00F470F3"/>
    <w:rsid w:val="00F473A1"/>
    <w:rsid w:val="00F47F9A"/>
    <w:rsid w:val="00F500B1"/>
    <w:rsid w:val="00F51DE7"/>
    <w:rsid w:val="00F52731"/>
    <w:rsid w:val="00F534A9"/>
    <w:rsid w:val="00F53AF0"/>
    <w:rsid w:val="00F555B1"/>
    <w:rsid w:val="00F570A8"/>
    <w:rsid w:val="00F60070"/>
    <w:rsid w:val="00F604A0"/>
    <w:rsid w:val="00F60F1A"/>
    <w:rsid w:val="00F6223D"/>
    <w:rsid w:val="00F633C8"/>
    <w:rsid w:val="00F63A34"/>
    <w:rsid w:val="00F63F15"/>
    <w:rsid w:val="00F67E55"/>
    <w:rsid w:val="00F71B79"/>
    <w:rsid w:val="00F725BD"/>
    <w:rsid w:val="00F80959"/>
    <w:rsid w:val="00F873F2"/>
    <w:rsid w:val="00F90B88"/>
    <w:rsid w:val="00F90F13"/>
    <w:rsid w:val="00F92A96"/>
    <w:rsid w:val="00F96EAB"/>
    <w:rsid w:val="00FA4642"/>
    <w:rsid w:val="00FB0E00"/>
    <w:rsid w:val="00FB0E5A"/>
    <w:rsid w:val="00FB424D"/>
    <w:rsid w:val="00FC1817"/>
    <w:rsid w:val="00FC2C5A"/>
    <w:rsid w:val="00FC48FC"/>
    <w:rsid w:val="00FC67FE"/>
    <w:rsid w:val="00FD1F3F"/>
    <w:rsid w:val="00FD25A2"/>
    <w:rsid w:val="00FD320A"/>
    <w:rsid w:val="00FD3FED"/>
    <w:rsid w:val="00FD56F6"/>
    <w:rsid w:val="00FD5EC6"/>
    <w:rsid w:val="00FD652E"/>
    <w:rsid w:val="00FE30DC"/>
    <w:rsid w:val="00FE5401"/>
    <w:rsid w:val="00FE6F08"/>
    <w:rsid w:val="00FE7F06"/>
    <w:rsid w:val="00FF1250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13C0"/>
  <w15:chartTrackingRefBased/>
  <w15:docId w15:val="{C2C8D2FC-385E-4D60-B6E8-4F083D09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link w:val="10"/>
    <w:uiPriority w:val="9"/>
    <w:qFormat/>
    <w:rsid w:val="00B009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B009B6"/>
    <w:pPr>
      <w:widowControl w:val="0"/>
      <w:autoSpaceDE w:val="0"/>
      <w:autoSpaceDN w:val="0"/>
      <w:jc w:val="both"/>
    </w:pPr>
    <w:rPr>
      <w:rFonts w:ascii="CG Times (W1)" w:hAnsi="CG Times (W1)" w:cs="CG Times (W1)"/>
    </w:rPr>
  </w:style>
  <w:style w:type="character" w:customStyle="1" w:styleId="a4">
    <w:name w:val="Основний текст Знак"/>
    <w:basedOn w:val="a0"/>
    <w:link w:val="a3"/>
    <w:rsid w:val="00B009B6"/>
    <w:rPr>
      <w:rFonts w:ascii="CG Times (W1)" w:eastAsia="Times New Roman" w:hAnsi="CG Times (W1)" w:cs="CG Times (W1)"/>
      <w:sz w:val="28"/>
      <w:szCs w:val="28"/>
      <w:lang w:val="uk-UA" w:eastAsia="ru-RU"/>
    </w:rPr>
  </w:style>
  <w:style w:type="paragraph" w:customStyle="1" w:styleId="a5">
    <w:name w:val="Знак"/>
    <w:basedOn w:val="a"/>
    <w:rsid w:val="00B009B6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00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09B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B009B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9">
    <w:name w:val="page number"/>
    <w:basedOn w:val="a0"/>
    <w:rsid w:val="00B009B6"/>
  </w:style>
  <w:style w:type="paragraph" w:styleId="aa">
    <w:name w:val="Balloon Text"/>
    <w:basedOn w:val="a"/>
    <w:link w:val="ab"/>
    <w:rsid w:val="00B009B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rsid w:val="00B009B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No Spacing"/>
    <w:uiPriority w:val="1"/>
    <w:qFormat/>
    <w:rsid w:val="00B009B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rsid w:val="00B009B6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27329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73297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27329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3297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273297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3">
    <w:name w:val="List Paragraph"/>
    <w:basedOn w:val="a"/>
    <w:uiPriority w:val="34"/>
    <w:qFormat/>
    <w:rsid w:val="00B35448"/>
    <w:pPr>
      <w:ind w:left="720"/>
      <w:contextualSpacing/>
    </w:pPr>
  </w:style>
  <w:style w:type="character" w:styleId="af4">
    <w:name w:val="Emphasis"/>
    <w:basedOn w:val="a0"/>
    <w:uiPriority w:val="20"/>
    <w:qFormat/>
    <w:rsid w:val="00EB625D"/>
    <w:rPr>
      <w:i/>
      <w:iCs/>
    </w:rPr>
  </w:style>
  <w:style w:type="paragraph" w:styleId="af5">
    <w:name w:val="Body Text Indent"/>
    <w:basedOn w:val="a"/>
    <w:link w:val="af6"/>
    <w:rsid w:val="00091B55"/>
    <w:pPr>
      <w:spacing w:after="120"/>
      <w:ind w:left="283"/>
    </w:pPr>
    <w:rPr>
      <w:sz w:val="24"/>
      <w:szCs w:val="24"/>
      <w:lang w:val="ru-RU"/>
    </w:rPr>
  </w:style>
  <w:style w:type="character" w:customStyle="1" w:styleId="af6">
    <w:name w:val="Основний текст з відступом Знак"/>
    <w:basedOn w:val="a0"/>
    <w:link w:val="af5"/>
    <w:rsid w:val="00091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3C5655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character" w:customStyle="1" w:styleId="FontStyle14">
    <w:name w:val="Font Style14"/>
    <w:rsid w:val="00F71B7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Data" Target="diagrams/data1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https://zakon.rada.gov.ua/laws/show/590-2021-%D0%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eader" Target="head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 cap="flat" cmpd="sng" algn="ctr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thickness val="0"/>
      <c:spPr>
        <a:noFill/>
        <a:ln w="25400">
          <a:noFill/>
        </a:ln>
        <a:effectLst/>
        <a:sp3d>
          <a:contourClr>
            <a:srgbClr val="808080"/>
          </a:contourClr>
        </a:sp3d>
      </c:spPr>
    </c:sideWall>
    <c:backWall>
      <c:thickness val="0"/>
      <c:spPr>
        <a:noFill/>
        <a:ln w="25400">
          <a:noFill/>
        </a:ln>
        <a:effectLst/>
        <a:sp3d>
          <a:contourClr>
            <a:srgbClr val="808080"/>
          </a:contourClr>
        </a:sp3d>
      </c:spPr>
    </c:backWall>
    <c:plotArea>
      <c:layout>
        <c:manualLayout>
          <c:layoutTarget val="inner"/>
          <c:xMode val="edge"/>
          <c:yMode val="edge"/>
          <c:x val="1.4150943396226415E-2"/>
          <c:y val="3.237410071942446E-2"/>
          <c:w val="0.97012578616352196"/>
          <c:h val="0.70503597122302153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Власні доходи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rgbClr val="000000"/>
              </a:solidFill>
            </a:ln>
            <a:effectLst/>
            <a:sp3d>
              <a:contourClr>
                <a:srgbClr val="000000"/>
              </a:contourClr>
            </a:sp3d>
          </c:spPr>
          <c:invertIfNegative val="0"/>
          <c:dLbls>
            <c:spPr>
              <a:noFill/>
              <a:ln w="25392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І півріччя
2023 року 
(138 715,1 тис. грн.)</c:v>
                </c:pt>
                <c:pt idx="1">
                  <c:v>І  півріччя
2024 року
(141 757,9 тис. грн.)</c:v>
                </c:pt>
              </c:strCache>
            </c:strRef>
          </c:cat>
          <c:val>
            <c:numRef>
              <c:f>Sheet1!$B$2:$C$2</c:f>
              <c:numCache>
                <c:formatCode>#,##0.0</c:formatCode>
                <c:ptCount val="2"/>
                <c:pt idx="0">
                  <c:v>104055.4</c:v>
                </c:pt>
                <c:pt idx="1">
                  <c:v>102864.8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2A-4418-A6C3-21F5BA81C8AC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Офіційні трансферти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rgbClr val="000000"/>
              </a:solidFill>
            </a:ln>
            <a:effectLst/>
            <a:sp3d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3.0154275921136401E-2"/>
                  <c:y val="-0.16403324584426945"/>
                </c:manualLayout>
              </c:layout>
              <c:spPr>
                <a:noFill/>
                <a:ln w="25392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1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2A-4418-A6C3-21F5BA81C8AC}"/>
                </c:ext>
              </c:extLst>
            </c:dLbl>
            <c:dLbl>
              <c:idx val="1"/>
              <c:layout>
                <c:manualLayout>
                  <c:x val="2.9376935635649432E-2"/>
                  <c:y val="-0.1855284585590484"/>
                </c:manualLayout>
              </c:layout>
              <c:spPr>
                <a:noFill/>
                <a:ln w="25392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1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2A-4418-A6C3-21F5BA81C8AC}"/>
                </c:ext>
              </c:extLst>
            </c:dLbl>
            <c:spPr>
              <a:noFill/>
              <a:ln w="25392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І півріччя
2023 року 
(138 715,1 тис. грн.)</c:v>
                </c:pt>
                <c:pt idx="1">
                  <c:v>І  півріччя
2024 року
(141 757,9 тис. грн.)</c:v>
                </c:pt>
              </c:strCache>
            </c:strRef>
          </c:cat>
          <c:val>
            <c:numRef>
              <c:f>Sheet1!$B$3:$C$3</c:f>
              <c:numCache>
                <c:formatCode>#,##0.0</c:formatCode>
                <c:ptCount val="2"/>
                <c:pt idx="0">
                  <c:v>34659.699999999997</c:v>
                </c:pt>
                <c:pt idx="1">
                  <c:v>38893.1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2A-4418-A6C3-21F5BA81C8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214334288"/>
        <c:axId val="213498312"/>
        <c:axId val="0"/>
      </c:bar3DChart>
      <c:catAx>
        <c:axId val="21433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3174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uk-UA"/>
          </a:p>
        </c:txPr>
        <c:crossAx val="213498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349831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14334288"/>
        <c:crosses val="autoZero"/>
        <c:crossBetween val="between"/>
      </c:valAx>
      <c:spPr>
        <a:noFill/>
        <a:ln w="25392">
          <a:noFill/>
        </a:ln>
        <a:effectLst/>
      </c:spPr>
    </c:plotArea>
    <c:legend>
      <c:legendPos val="b"/>
      <c:layout>
        <c:manualLayout>
          <c:xMode val="edge"/>
          <c:yMode val="edge"/>
          <c:x val="0.26729559748427673"/>
          <c:y val="0.8920863309352518"/>
          <c:w val="0.46383647798742139"/>
          <c:h val="9.7122302158273388E-2"/>
        </c:manualLayout>
      </c:layout>
      <c:overlay val="0"/>
      <c:spPr>
        <a:noFill/>
        <a:ln w="3174">
          <a:noFill/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4.8437500000000001E-2"/>
                  <c:y val="-5.156249682809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16-4179-9970-D0B28936E6CA}"/>
                </c:ext>
              </c:extLst>
            </c:dLbl>
            <c:dLbl>
              <c:idx val="1"/>
              <c:layout>
                <c:manualLayout>
                  <c:x val="7.0312499999999889E-2"/>
                  <c:y val="-7.4999995386319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16-4179-9970-D0B28936E6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Січень-червень
2023 року</c:v>
                </c:pt>
                <c:pt idx="1">
                  <c:v>Січень-червень
2024 року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73851</c:v>
                </c:pt>
                <c:pt idx="1">
                  <c:v>66366.899999999994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16-4179-9970-D0B28936E6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0790504"/>
        <c:axId val="430790832"/>
        <c:axId val="0"/>
      </c:bar3DChart>
      <c:catAx>
        <c:axId val="43079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1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0790832"/>
        <c:crosses val="autoZero"/>
        <c:auto val="1"/>
        <c:lblAlgn val="ctr"/>
        <c:lblOffset val="100"/>
        <c:noMultiLvlLbl val="0"/>
      </c:catAx>
      <c:valAx>
        <c:axId val="4307908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crossAx val="43079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1" dirty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Склад доходів загального фонду бюджету</a:t>
            </a:r>
          </a:p>
          <a:p>
            <a:pPr>
              <a:defRPr sz="1400" spc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1" dirty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Диканської селищної </a:t>
            </a:r>
            <a:r>
              <a:rPr lang="ru-RU" sz="1400" b="1" i="1" dirty="0" err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територіальної</a:t>
            </a:r>
            <a:r>
              <a:rPr lang="ru-RU" sz="1400" b="1" i="1" dirty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 i="1" dirty="0" err="1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громади</a:t>
            </a:r>
            <a:endParaRPr lang="ru-RU" sz="1400" b="1" i="1" dirty="0" smtClean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400" spc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1" dirty="0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 i="1" dirty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січень-червень</a:t>
            </a:r>
            <a:r>
              <a:rPr lang="ru-RU" sz="1400" b="1" i="1" baseline="0" dirty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 i="1" dirty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2024 </a:t>
            </a:r>
            <a:r>
              <a:rPr lang="ru-RU" sz="1400" b="1" i="1" dirty="0" err="1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року</a:t>
            </a:r>
          </a:p>
          <a:p>
            <a:pPr>
              <a:defRPr sz="1400" spc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1" dirty="0" smtClean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</a:t>
            </a:r>
            <a:r>
              <a:rPr lang="ru-RU" sz="1400" b="1" i="1" dirty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(без урахування міжбюджетних трансфертів)</a:t>
            </a:r>
          </a:p>
        </c:rich>
      </c:tx>
      <c:layout>
        <c:manualLayout>
          <c:xMode val="edge"/>
          <c:yMode val="edge"/>
          <c:x val="0.14345528608052446"/>
          <c:y val="2.83094726795514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0.26797094373010932"/>
          <c:y val="0.21265688379861608"/>
          <c:w val="0.42308520524401466"/>
          <c:h val="0.757707140300644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Склад доходів загального фонду бюджету Диканської селищної територіальної громади за  січень-березень 2023 року (без урахування міжбюджетних трансфертів)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42-4F7C-92EE-6237E83F16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42-4F7C-92EE-6237E83F16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42-4F7C-92EE-6237E83F16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42-4F7C-92EE-6237E83F16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A42-4F7C-92EE-6237E83F16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A42-4F7C-92EE-6237E83F16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A42-4F7C-92EE-6237E83F16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A42-4F7C-92EE-6237E83F16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A42-4F7C-92EE-6237E83F16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A42-4F7C-92EE-6237E83F16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A42-4F7C-92EE-6237E83F16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A42-4F7C-92EE-6237E83F16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2A42-4F7C-92EE-6237E83F1696}"/>
              </c:ext>
            </c:extLst>
          </c:dPt>
          <c:dLbls>
            <c:dLbl>
              <c:idx val="0"/>
              <c:layout>
                <c:manualLayout>
                  <c:x val="-4.8024384750663424E-2"/>
                  <c:y val="7.663626050735417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ПДФО</a:t>
                    </a:r>
                    <a:r>
                      <a:rPr lang="uk-UA" baseline="0"/>
                      <a:t>; </a:t>
                    </a:r>
                    <a:fld id="{033D949C-A008-480C-A372-2372E963420A}" type="VALUE">
                      <a:rPr lang="en-US"/>
                      <a:pPr/>
                      <a:t>[ЗНАЧЕННЯ]</a:t>
                    </a:fld>
                    <a:r>
                      <a:rPr lang="en-US"/>
                      <a:t> ;</a:t>
                    </a:r>
                    <a:endParaRPr lang="en-US" baseline="0"/>
                  </a:p>
                  <a:p>
                    <a:r>
                      <a:rPr lang="en-US" baseline="0"/>
                      <a:t> </a:t>
                    </a:r>
                    <a:fld id="{5F4777D9-003A-478A-971D-2CB7ABD16703}" type="PERCENTAGE">
                      <a:rPr lang="en-US" baseline="0"/>
                      <a:pPr/>
                      <a:t>[ВІДСОТОК]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809927240107641"/>
                      <c:h val="8.31831058459953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42-4F7C-92EE-6237E83F1696}"/>
                </c:ext>
              </c:extLst>
            </c:dLbl>
            <c:dLbl>
              <c:idx val="2"/>
              <c:layout>
                <c:manualLayout>
                  <c:x val="-2.9434015290524876E-3"/>
                  <c:y val="0.1088090424442502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42-4F7C-92EE-6237E83F1696}"/>
                </c:ext>
              </c:extLst>
            </c:dLbl>
            <c:dLbl>
              <c:idx val="3"/>
              <c:layout>
                <c:manualLayout>
                  <c:x val="-9.4145304103017455E-2"/>
                  <c:y val="5.270733203804071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42-4F7C-92EE-6237E83F1696}"/>
                </c:ext>
              </c:extLst>
            </c:dLbl>
            <c:dLbl>
              <c:idx val="4"/>
              <c:layout>
                <c:manualLayout>
                  <c:x val="-7.5593737387931334E-2"/>
                  <c:y val="-2.0428298735385347E-2"/>
                </c:manualLayout>
              </c:layout>
              <c:tx>
                <c:rich>
                  <a:bodyPr/>
                  <a:lstStyle/>
                  <a:p>
                    <a:fld id="{5EF06B11-E3DD-42A6-A22F-C7A4996A1BE1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8FFA5822-AF43-4F6D-B4D6-D579DD364571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16,5%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A42-4F7C-92EE-6237E83F1696}"/>
                </c:ext>
              </c:extLst>
            </c:dLbl>
            <c:dLbl>
              <c:idx val="5"/>
              <c:layout>
                <c:manualLayout>
                  <c:x val="-4.4614084994926577E-2"/>
                  <c:y val="-1.476433717739961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42-4F7C-92EE-6237E83F1696}"/>
                </c:ext>
              </c:extLst>
            </c:dLbl>
            <c:dLbl>
              <c:idx val="6"/>
              <c:layout>
                <c:manualLayout>
                  <c:x val="-1.1846235292387583E-2"/>
                  <c:y val="-3.5200987141608589E-2"/>
                </c:manualLayout>
              </c:layout>
              <c:tx>
                <c:rich>
                  <a:bodyPr/>
                  <a:lstStyle/>
                  <a:p>
                    <a:fld id="{2A765052-ABA2-44BA-B710-EEF0EF53E527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E763A675-688E-4A69-A0D7-F24A92B73A4B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</a:t>
                    </a:r>
                    <a:fld id="{CDA93E76-3D67-4156-956F-9C1FF497AB66}" type="PERCENTAGE">
                      <a:rPr lang="uk-UA" baseline="0"/>
                      <a:pPr/>
                      <a:t>[ВІДСОТОК]</a:t>
                    </a:fld>
                    <a:endParaRPr lang="uk-UA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77497536817028"/>
                      <c:h val="8.31831058459953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2A42-4F7C-92EE-6237E83F1696}"/>
                </c:ext>
              </c:extLst>
            </c:dLbl>
            <c:dLbl>
              <c:idx val="7"/>
              <c:layout>
                <c:manualLayout>
                  <c:x val="6.2938859141880979E-2"/>
                  <c:y val="-6.134594365506011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42-4F7C-92EE-6237E83F169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>
                <a:softEdge rad="0"/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ПДФО </c:v>
                </c:pt>
                <c:pt idx="1">
                  <c:v>Податок на прибуток</c:v>
                </c:pt>
                <c:pt idx="2">
                  <c:v>Рента </c:v>
                </c:pt>
                <c:pt idx="3">
                  <c:v>Акциз</c:v>
                </c:pt>
                <c:pt idx="4">
                  <c:v>Майно</c:v>
                </c:pt>
                <c:pt idx="5">
                  <c:v>Турзбір</c:v>
                </c:pt>
                <c:pt idx="6">
                  <c:v>Єдиний</c:v>
                </c:pt>
                <c:pt idx="7">
                  <c:v>Неподаткові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8"/>
                <c:pt idx="0">
                  <c:v>66367</c:v>
                </c:pt>
                <c:pt idx="1">
                  <c:v>1.1000000000000001</c:v>
                </c:pt>
                <c:pt idx="2">
                  <c:v>964.7</c:v>
                </c:pt>
                <c:pt idx="3">
                  <c:v>3563.2</c:v>
                </c:pt>
                <c:pt idx="4">
                  <c:v>16899.3</c:v>
                </c:pt>
                <c:pt idx="5">
                  <c:v>256.3</c:v>
                </c:pt>
                <c:pt idx="6">
                  <c:v>14036</c:v>
                </c:pt>
                <c:pt idx="7">
                  <c:v>777.2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2A42-4F7C-92EE-6237E83F16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C-2A42-4F7C-92EE-6237E83F16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E-2A42-4F7C-92EE-6237E83F16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0-2A42-4F7C-92EE-6237E83F16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2-2A42-4F7C-92EE-6237E83F16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4-2A42-4F7C-92EE-6237E83F16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6-2A42-4F7C-92EE-6237E83F16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8-2A42-4F7C-92EE-6237E83F16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A-2A42-4F7C-92EE-6237E83F16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C-2A42-4F7C-92EE-6237E83F16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E-2A42-4F7C-92EE-6237E83F16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0-2A42-4F7C-92EE-6237E83F16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2-2A42-4F7C-92EE-6237E83F16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4-2A42-4F7C-92EE-6237E83F1696}"/>
              </c:ext>
            </c:extLst>
          </c:dPt>
          <c:cat>
            <c:strRef>
              <c:f>Лист1!$A$2:$A$9</c:f>
              <c:strCache>
                <c:ptCount val="8"/>
                <c:pt idx="0">
                  <c:v>ПДФО </c:v>
                </c:pt>
                <c:pt idx="1">
                  <c:v>Податок на прибуток</c:v>
                </c:pt>
                <c:pt idx="2">
                  <c:v>Рента </c:v>
                </c:pt>
                <c:pt idx="3">
                  <c:v>Акциз</c:v>
                </c:pt>
                <c:pt idx="4">
                  <c:v>Майно</c:v>
                </c:pt>
                <c:pt idx="5">
                  <c:v>Турзбір</c:v>
                </c:pt>
                <c:pt idx="6">
                  <c:v>Єдиний</c:v>
                </c:pt>
                <c:pt idx="7">
                  <c:v>Неподаткові</c:v>
                </c:pt>
              </c:strCache>
            </c:strRef>
          </c:cat>
          <c:val>
            <c:numRef>
              <c:f>Лист1!$C$2:$C$9</c:f>
              <c:numCache>
                <c:formatCode>0.000</c:formatCode>
                <c:ptCount val="8"/>
                <c:pt idx="0">
                  <c:v>64.51866916573988</c:v>
                </c:pt>
                <c:pt idx="1">
                  <c:v>1.0693648361733072E-3</c:v>
                </c:pt>
                <c:pt idx="2">
                  <c:v>0.9378329613239903</c:v>
                </c:pt>
                <c:pt idx="3">
                  <c:v>3.4639643493206611</c:v>
                </c:pt>
                <c:pt idx="4">
                  <c:v>16.428651978130514</c:v>
                </c:pt>
                <c:pt idx="5">
                  <c:v>0.24916200682838058</c:v>
                </c:pt>
                <c:pt idx="6">
                  <c:v>13.645095309571397</c:v>
                </c:pt>
                <c:pt idx="7">
                  <c:v>0.75555486424899476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5-2A42-4F7C-92EE-6237E83F1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Структура касових видатків бюджету Диканської селищної територіальної громади за І півріччя 2024 року (загальний+спеціальний) -135 745,2 тис.</a:t>
            </a:r>
            <a:r>
              <a:rPr lang="ru-RU" b="1" baseline="0">
                <a:solidFill>
                  <a:sysClr val="windowText" lastClr="000000"/>
                </a:solidFill>
              </a:rPr>
              <a:t> грн.</a:t>
            </a:r>
            <a:endParaRPr lang="ru-RU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6888888888888889"/>
          <c:y val="2.7040314650934118E-2"/>
        </c:manualLayout>
      </c:layout>
      <c:overlay val="0"/>
      <c:spPr>
        <a:noFill/>
        <a:ln>
          <a:noFill/>
        </a:ln>
        <a:effectLst>
          <a:softEdge rad="50800"/>
        </a:effectLst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2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видатків бюджету Диканської СТГ (за галузями) станом за 01.07.2024 року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54000" h="165100" prst="coolSlant"/>
              <a:contourClr>
                <a:srgbClr val="000000"/>
              </a:contourClr>
            </a:sp3d>
          </c:spPr>
          <c:explosion val="1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254000" h="1651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E8A-49C4-8D7D-70E93F23A6B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254000" h="1651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E8A-49C4-8D7D-70E93F23A6B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254000" h="1651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E8A-49C4-8D7D-70E93F23A6B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254000" h="1651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E8A-49C4-8D7D-70E93F23A6B7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254000" h="1651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E8A-49C4-8D7D-70E93F23A6B7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254000" h="1651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E8A-49C4-8D7D-70E93F23A6B7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254000" h="1651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E8A-49C4-8D7D-70E93F23A6B7}"/>
              </c:ext>
            </c:extLst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254000" h="1651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E8A-49C4-8D7D-70E93F23A6B7}"/>
              </c:ext>
            </c:extLst>
          </c:dPt>
          <c:dPt>
            <c:idx val="8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254000" h="1651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CD9F-42D8-8D23-41EC0234AC74}"/>
              </c:ext>
            </c:extLst>
          </c:dPt>
          <c:dPt>
            <c:idx val="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254000" h="165100" prst="coolSlant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CD9F-42D8-8D23-41EC0234AC74}"/>
              </c:ext>
            </c:extLst>
          </c:dPt>
          <c:dLbls>
            <c:dLbl>
              <c:idx val="0"/>
              <c:layout>
                <c:manualLayout>
                  <c:x val="1.824933647999882E-2"/>
                  <c:y val="-0.13322358488374794"/>
                </c:manualLayout>
              </c:layout>
              <c:tx>
                <c:rich>
                  <a:bodyPr/>
                  <a:lstStyle/>
                  <a:p>
                    <a:fld id="{071A0F8B-648C-4388-9778-2735DFC84A6A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833AF915-1DE6-4B4F-9E3C-56E2EACB5833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</a:t>
                    </a:r>
                    <a:fld id="{1632E012-8463-4B42-80F6-48D2A219F04A}" type="PERCENTAGE">
                      <a:rPr lang="uk-UA" baseline="0"/>
                      <a:pPr/>
                      <a:t>[ВІДСОТОК]</a:t>
                    </a:fld>
                    <a:endParaRPr lang="uk-UA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E8A-49C4-8D7D-70E93F23A6B7}"/>
                </c:ext>
              </c:extLst>
            </c:dLbl>
            <c:dLbl>
              <c:idx val="1"/>
              <c:layout>
                <c:manualLayout>
                  <c:x val="0.17793350095943888"/>
                  <c:y val="-2.074191719280189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/>
                      <a:t>Освіта </a:t>
                    </a:r>
                    <a:fld id="{5927AA2A-007F-463F-9920-26CC9A449613}" type="VALUE">
                      <a:rPr lang="en-US"/>
                      <a:pPr>
                        <a:defRPr sz="1200" b="1">
                          <a:solidFill>
                            <a:sysClr val="windowText" lastClr="000000"/>
                          </a:solidFill>
                        </a:defRPr>
                      </a:pPr>
                      <a:t>[ЗНАЧЕННЯ]</a:t>
                    </a:fld>
                    <a:r>
                      <a:rPr lang="en-US" baseline="0"/>
                      <a:t>; </a:t>
                    </a:r>
                    <a:fld id="{8FB3A105-3772-4B03-B5A6-3BB729075C2B}" type="PERCENTAGE">
                      <a:rPr lang="en-US" baseline="0"/>
                      <a:pPr>
                        <a:defRPr sz="1200" b="1">
                          <a:solidFill>
                            <a:sysClr val="windowText" lastClr="000000"/>
                          </a:solidFill>
                        </a:defRPr>
                      </a:pPr>
                      <a:t>[ВІДСОТОК]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617497812773404"/>
                      <c:h val="8.02604885032386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E8A-49C4-8D7D-70E93F23A6B7}"/>
                </c:ext>
              </c:extLst>
            </c:dLbl>
            <c:dLbl>
              <c:idx val="2"/>
              <c:layout>
                <c:manualLayout>
                  <c:x val="-4.2332943676158129E-4"/>
                  <c:y val="-0.1279846932850207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030C36-806E-4555-ABFF-A9E8E2A08514}" type="CATEGORYNAME">
                      <a:rPr lang="uk-UA"/>
                      <a:pPr>
                        <a:defRPr sz="1200" b="1">
                          <a:solidFill>
                            <a:sysClr val="windowText" lastClr="000000"/>
                          </a:solidFill>
                        </a:defRPr>
                      </a:pPr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pPr>
                      <a:defRPr sz="1200" b="1">
                        <a:solidFill>
                          <a:sysClr val="windowText" lastClr="000000"/>
                        </a:solidFill>
                      </a:defRPr>
                    </a:pPr>
                    <a:fld id="{D8F6B95F-503C-423B-BB52-529F64E2A5AD}" type="VALUE">
                      <a:rPr lang="uk-UA" baseline="0"/>
                      <a:pPr>
                        <a:defRPr sz="1200" b="1">
                          <a:solidFill>
                            <a:sysClr val="windowText" lastClr="000000"/>
                          </a:solidFill>
                        </a:defRPr>
                      </a:pPr>
                      <a:t>[ЗНАЧЕННЯ]</a:t>
                    </a:fld>
                    <a:r>
                      <a:rPr lang="uk-UA" baseline="0"/>
                      <a:t>; </a:t>
                    </a:r>
                    <a:fld id="{8EC33A6B-2E36-4061-B033-B21FC194D37B}" type="PERCENTAGE">
                      <a:rPr lang="uk-UA" baseline="0"/>
                      <a:pPr>
                        <a:defRPr sz="1200" b="1">
                          <a:solidFill>
                            <a:sysClr val="windowText" lastClr="000000"/>
                          </a:solidFill>
                        </a:defRPr>
                      </a:pPr>
                      <a:t>[ВІДСОТОК]</a:t>
                    </a:fld>
                    <a:endParaRPr lang="uk-UA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159671217568392"/>
                      <c:h val="0.209685349065880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E8A-49C4-8D7D-70E93F23A6B7}"/>
                </c:ext>
              </c:extLst>
            </c:dLbl>
            <c:dLbl>
              <c:idx val="3"/>
              <c:layout>
                <c:manualLayout>
                  <c:x val="6.3748760571595217E-2"/>
                  <c:y val="-2.46756406003572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091B7AC-B033-42C5-8CE3-876B17BAB34F}" type="CATEGORYNAME">
                      <a:rPr lang="uk-UA"/>
                      <a:pPr>
                        <a:defRPr sz="1200" b="1">
                          <a:solidFill>
                            <a:sysClr val="windowText" lastClr="000000"/>
                          </a:solidFill>
                        </a:defRPr>
                      </a:pPr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pPr>
                      <a:defRPr sz="1200" b="1">
                        <a:solidFill>
                          <a:sysClr val="windowText" lastClr="000000"/>
                        </a:solidFill>
                      </a:defRPr>
                    </a:pPr>
                    <a:fld id="{5BE8AC4A-8F0D-424C-82EB-506B76E8190F}" type="VALUE">
                      <a:rPr lang="uk-UA" baseline="0"/>
                      <a:pPr>
                        <a:defRPr sz="1200" b="1">
                          <a:solidFill>
                            <a:sysClr val="windowText" lastClr="000000"/>
                          </a:solidFill>
                        </a:defRPr>
                      </a:pPr>
                      <a:t>[ЗНАЧЕННЯ]</a:t>
                    </a:fld>
                    <a:r>
                      <a:rPr lang="uk-UA" baseline="0"/>
                      <a:t>; </a:t>
                    </a:r>
                    <a:fld id="{93E47EEF-234F-4FDB-83F4-CBA32E40B5C9}" type="PERCENTAGE">
                      <a:rPr lang="uk-UA" baseline="0"/>
                      <a:pPr>
                        <a:defRPr sz="1200" b="1">
                          <a:solidFill>
                            <a:sysClr val="windowText" lastClr="000000"/>
                          </a:solidFill>
                        </a:defRPr>
                      </a:pPr>
                      <a:t>[ВІДСОТОК]</a:t>
                    </a:fld>
                    <a:endParaRPr lang="uk-UA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77034120734909"/>
                      <c:h val="0.1207896130500317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E8A-49C4-8D7D-70E93F23A6B7}"/>
                </c:ext>
              </c:extLst>
            </c:dLbl>
            <c:dLbl>
              <c:idx val="4"/>
              <c:layout>
                <c:manualLayout>
                  <c:x val="4.4368130454281313E-2"/>
                  <c:y val="-3.3052284393654333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E8A-49C4-8D7D-70E93F23A6B7}"/>
                </c:ext>
              </c:extLst>
            </c:dLbl>
            <c:dLbl>
              <c:idx val="5"/>
              <c:layout>
                <c:manualLayout>
                  <c:x val="1.8674136321195146E-3"/>
                  <c:y val="3.91428394459542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E8A-49C4-8D7D-70E93F23A6B7}"/>
                </c:ext>
              </c:extLst>
            </c:dLbl>
            <c:dLbl>
              <c:idx val="6"/>
              <c:layout>
                <c:manualLayout>
                  <c:x val="1.680672268907563E-2"/>
                  <c:y val="8.267000363892566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E8A-49C4-8D7D-70E93F23A6B7}"/>
                </c:ext>
              </c:extLst>
            </c:dLbl>
            <c:dLbl>
              <c:idx val="7"/>
              <c:layout>
                <c:manualLayout>
                  <c:x val="7.3520221736988763E-8"/>
                  <c:y val="7.486673402550345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812324929971985"/>
                      <c:h val="7.927728613569320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AE8A-49C4-8D7D-70E93F23A6B7}"/>
                </c:ext>
              </c:extLst>
            </c:dLbl>
            <c:dLbl>
              <c:idx val="8"/>
              <c:layout>
                <c:manualLayout>
                  <c:x val="-3.7085217289015343E-2"/>
                  <c:y val="2.175806564002499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D9F-42D8-8D23-41EC0234AC74}"/>
                </c:ext>
              </c:extLst>
            </c:dLbl>
            <c:dLbl>
              <c:idx val="9"/>
              <c:layout>
                <c:manualLayout>
                  <c:x val="-6.7174470838204048E-2"/>
                  <c:y val="-5.464059802259221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D9F-42D8-8D23-41EC0234AC7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Держуправління</c:v>
                </c:pt>
                <c:pt idx="1">
                  <c:v>Освіта</c:v>
                </c:pt>
                <c:pt idx="2">
                  <c:v>Медицина</c:v>
                </c:pt>
                <c:pt idx="3">
                  <c:v>Соцзахист</c:v>
                </c:pt>
                <c:pt idx="4">
                  <c:v>Культура</c:v>
                </c:pt>
                <c:pt idx="5">
                  <c:v>ФК і спорт</c:v>
                </c:pt>
                <c:pt idx="6">
                  <c:v>ЖКГ</c:v>
                </c:pt>
                <c:pt idx="7">
                  <c:v>Економдіяльність</c:v>
                </c:pt>
                <c:pt idx="8">
                  <c:v>Інша діяльність</c:v>
                </c:pt>
                <c:pt idx="9">
                  <c:v>Трансферти</c:v>
                </c:pt>
              </c:strCache>
            </c:strRef>
          </c:cat>
          <c:val>
            <c:numRef>
              <c:f>Лист1!$B$2:$B$11</c:f>
              <c:numCache>
                <c:formatCode>#,##0.0</c:formatCode>
                <c:ptCount val="10"/>
                <c:pt idx="0">
                  <c:v>17057.400000000001</c:v>
                </c:pt>
                <c:pt idx="1">
                  <c:v>78972.5</c:v>
                </c:pt>
                <c:pt idx="2">
                  <c:v>5804.8</c:v>
                </c:pt>
                <c:pt idx="3">
                  <c:v>13253.3</c:v>
                </c:pt>
                <c:pt idx="4">
                  <c:v>6144.4</c:v>
                </c:pt>
                <c:pt idx="5">
                  <c:v>961.69999999999993</c:v>
                </c:pt>
                <c:pt idx="6">
                  <c:v>12572.400000000001</c:v>
                </c:pt>
                <c:pt idx="7">
                  <c:v>36.299999999999997</c:v>
                </c:pt>
                <c:pt idx="8">
                  <c:v>862.4</c:v>
                </c:pt>
                <c:pt idx="9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E8A-49C4-8D7D-70E93F23A6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CF49-4831-95D3-9CEFE247B41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CF49-4831-95D3-9CEFE247B41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CF49-4831-95D3-9CEFE247B41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CF49-4831-95D3-9CEFE247B419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CF49-4831-95D3-9CEFE247B419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CF49-4831-95D3-9CEFE247B419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CF49-4831-95D3-9CEFE247B419}"/>
              </c:ext>
            </c:extLst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CF49-4831-95D3-9CEFE247B419}"/>
              </c:ext>
            </c:extLst>
          </c:dPt>
          <c:dPt>
            <c:idx val="8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CF49-4831-95D3-9CEFE247B419}"/>
              </c:ext>
            </c:extLst>
          </c:dPt>
          <c:dPt>
            <c:idx val="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CF49-4831-95D3-9CEFE247B419}"/>
              </c:ext>
            </c:extLst>
          </c:dPt>
          <c:cat>
            <c:strRef>
              <c:f>Лист1!$A$2:$A$11</c:f>
              <c:strCache>
                <c:ptCount val="10"/>
                <c:pt idx="0">
                  <c:v>Держуправління</c:v>
                </c:pt>
                <c:pt idx="1">
                  <c:v>Освіта</c:v>
                </c:pt>
                <c:pt idx="2">
                  <c:v>Медицина</c:v>
                </c:pt>
                <c:pt idx="3">
                  <c:v>Соцзахист</c:v>
                </c:pt>
                <c:pt idx="4">
                  <c:v>Культура</c:v>
                </c:pt>
                <c:pt idx="5">
                  <c:v>ФК і спорт</c:v>
                </c:pt>
                <c:pt idx="6">
                  <c:v>ЖКГ</c:v>
                </c:pt>
                <c:pt idx="7">
                  <c:v>Економдіяльність</c:v>
                </c:pt>
                <c:pt idx="8">
                  <c:v>Інша діяльність</c:v>
                </c:pt>
                <c:pt idx="9">
                  <c:v>Трансферти</c:v>
                </c:pt>
              </c:strCache>
            </c:strRef>
          </c:cat>
          <c:val>
            <c:numRef>
              <c:f>Лист1!$C$2:$C$11</c:f>
              <c:numCache>
                <c:formatCode>0.00</c:formatCode>
                <c:ptCount val="10"/>
                <c:pt idx="0">
                  <c:v>12.565748181151159</c:v>
                </c:pt>
                <c:pt idx="1">
                  <c:v>58.177011047167795</c:v>
                </c:pt>
                <c:pt idx="2">
                  <c:v>4.2762469685852622</c:v>
                </c:pt>
                <c:pt idx="3">
                  <c:v>9.7633654817997257</c:v>
                </c:pt>
                <c:pt idx="4">
                  <c:v>4.5264215603940325</c:v>
                </c:pt>
                <c:pt idx="5">
                  <c:v>0.70845967297554546</c:v>
                </c:pt>
                <c:pt idx="6">
                  <c:v>9.2617639518745438</c:v>
                </c:pt>
                <c:pt idx="7">
                  <c:v>2.674127703963013E-2</c:v>
                </c:pt>
                <c:pt idx="8">
                  <c:v>0.63530791512333407</c:v>
                </c:pt>
                <c:pt idx="9">
                  <c:v>5.8933943888992028E-2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D9F-42D8-8D23-41EC0234A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 prstMaterial="dkEdge"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1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>
                <a:solidFill>
                  <a:sysClr val="windowText" lastClr="000000"/>
                </a:solidFill>
              </a:rPr>
              <a:t>Структура видатків загального фонду </a:t>
            </a:r>
            <a:r>
              <a:rPr lang="ru-RU" sz="1400" b="1" i="1" baseline="0">
                <a:effectLst/>
              </a:rPr>
              <a:t>бюджету Диканської селищної територіальної громади</a:t>
            </a:r>
            <a:endParaRPr lang="ru-RU" sz="1400" b="1" i="1">
              <a:solidFill>
                <a:sysClr val="windowText" lastClr="000000"/>
              </a:solidFill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1" spc="0">
                <a:solidFill>
                  <a:sysClr val="windowText" lastClr="000000"/>
                </a:solidFill>
              </a:defRPr>
            </a:pPr>
            <a:r>
              <a:rPr lang="ru-RU" sz="1400" b="1" i="1">
                <a:solidFill>
                  <a:sysClr val="windowText" lastClr="000000"/>
                </a:solidFill>
              </a:rPr>
              <a:t>за січень-червень 2024 року </a:t>
            </a:r>
            <a:r>
              <a:rPr lang="ru-RU" sz="1400" b="1" i="1" u="none" strike="noStrike" baseline="0">
                <a:effectLst/>
              </a:rPr>
              <a:t>за економічною ознакою </a:t>
            </a:r>
            <a:endParaRPr lang="ru-RU" sz="1400" b="1" i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231505839317938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1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0.28819190927569649"/>
          <c:y val="0.29455910328930274"/>
          <c:w val="0.45109075281782224"/>
          <c:h val="0.62775984535410401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І півріччя 2024 року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17A19A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76B-4B27-AA90-053B8BB1CB0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76B-4B27-AA90-053B8BB1CB0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76B-4B27-AA90-053B8BB1CB0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76B-4B27-AA90-053B8BB1CB0E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76B-4B27-AA90-053B8BB1CB0E}"/>
              </c:ext>
            </c:extLst>
          </c:dPt>
          <c:dPt>
            <c:idx val="5"/>
            <c:bubble3D val="0"/>
            <c:spPr>
              <a:solidFill>
                <a:srgbClr val="7030A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DD9-4E18-AB97-73AEB5FD5A5D}"/>
              </c:ext>
            </c:extLst>
          </c:dPt>
          <c:dLbls>
            <c:dLbl>
              <c:idx val="0"/>
              <c:layout>
                <c:manualLayout>
                  <c:x val="0.23918116818469776"/>
                  <c:y val="8.88855703381904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8D551B3-E794-45B6-81A9-951376F06C09}" type="CATEGORYNAME">
                      <a:rPr lang="uk-UA" b="1"/>
                      <a:pPr>
                        <a:defRPr b="1"/>
                      </a:pPr>
                      <a:t>[ІМ’Я КАТЕГОРІЇ]</a:t>
                    </a:fld>
                    <a:r>
                      <a:rPr lang="uk-UA" b="1" baseline="0"/>
                      <a:t>; </a:t>
                    </a:r>
                  </a:p>
                  <a:p>
                    <a:pPr>
                      <a:defRPr b="1"/>
                    </a:pPr>
                    <a:fld id="{351F1D18-2DCE-4DDD-9EA5-9CBB04174034}" type="VALUE">
                      <a:rPr lang="uk-UA" b="1" baseline="0"/>
                      <a:pPr>
                        <a:defRPr b="1"/>
                      </a:pPr>
                      <a:t>[ЗНАЧЕННЯ]</a:t>
                    </a:fld>
                    <a:r>
                      <a:rPr lang="uk-UA" b="1" baseline="0"/>
                      <a:t>; </a:t>
                    </a:r>
                    <a:fld id="{A681D8A0-D8C6-4ADF-800F-1056BEACBA8B}" type="PERCENTAGE">
                      <a:rPr lang="uk-UA" b="1" baseline="0"/>
                      <a:pPr>
                        <a:defRPr b="1"/>
                      </a:pPr>
                      <a:t>[ВІДСОТОК]</a:t>
                    </a:fld>
                    <a:endParaRPr lang="uk-UA" b="1" baseline="0"/>
                  </a:p>
                </c:rich>
              </c:tx>
              <c:numFmt formatCode="0.0%" sourceLinked="0"/>
              <c:spPr>
                <a:solidFill>
                  <a:sysClr val="window" lastClr="FFFFFF"/>
                </a:solidFill>
                <a:ln cap="rnd">
                  <a:solidFill>
                    <a:sysClr val="windowText" lastClr="000000">
                      <a:lumMod val="65000"/>
                      <a:lumOff val="35000"/>
                    </a:sys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ound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184196019384725"/>
                      <c:h val="0.2113253084743717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76B-4B27-AA90-053B8BB1CB0E}"/>
                </c:ext>
              </c:extLst>
            </c:dLbl>
            <c:dLbl>
              <c:idx val="1"/>
              <c:layout>
                <c:manualLayout>
                  <c:x val="-0.24215172904482252"/>
                  <c:y val="0.2540786082913161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0CD457A-CB92-45D9-9F4A-AA73235DAD94}" type="CATEGORYNAME">
                      <a:rPr lang="uk-UA" b="1"/>
                      <a:pPr>
                        <a:defRPr b="1"/>
                      </a:pPr>
                      <a:t>[ІМ’Я КАТЕГОРІЇ]</a:t>
                    </a:fld>
                    <a:r>
                      <a:rPr lang="uk-UA" b="1" baseline="0"/>
                      <a:t>; </a:t>
                    </a:r>
                  </a:p>
                  <a:p>
                    <a:pPr>
                      <a:defRPr b="1"/>
                    </a:pPr>
                    <a:fld id="{4D4ED223-3CF2-4DD1-95AE-36C6D626088C}" type="VALUE">
                      <a:rPr lang="uk-UA" b="1" baseline="0"/>
                      <a:pPr>
                        <a:defRPr b="1"/>
                      </a:pPr>
                      <a:t>[ЗНАЧЕННЯ]</a:t>
                    </a:fld>
                    <a:r>
                      <a:rPr lang="uk-UA" b="1" baseline="0"/>
                      <a:t>; </a:t>
                    </a:r>
                    <a:fld id="{F189AAC4-0A60-4126-8C1F-F27F6FAC3D7D}" type="PERCENTAGE">
                      <a:rPr lang="uk-UA" b="1" baseline="0"/>
                      <a:pPr>
                        <a:defRPr b="1"/>
                      </a:pPr>
                      <a:t>[ВІДСОТОК]</a:t>
                    </a:fld>
                    <a:endParaRPr lang="uk-UA" b="1" baseline="0"/>
                  </a:p>
                </c:rich>
              </c:tx>
              <c:numFmt formatCode="0.0%" sourceLinked="0"/>
              <c:spPr>
                <a:solidFill>
                  <a:sysClr val="window" lastClr="FFFFFF"/>
                </a:solidFill>
                <a:ln cap="rnd">
                  <a:solidFill>
                    <a:sysClr val="windowText" lastClr="000000">
                      <a:lumMod val="65000"/>
                      <a:lumOff val="35000"/>
                    </a:sys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ound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4588469544755181"/>
                      <c:h val="0.2277207590430506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76B-4B27-AA90-053B8BB1CB0E}"/>
                </c:ext>
              </c:extLst>
            </c:dLbl>
            <c:dLbl>
              <c:idx val="2"/>
              <c:layout>
                <c:manualLayout>
                  <c:x val="-0.26114547593776483"/>
                  <c:y val="-8.6514616707394337E-3"/>
                </c:manualLayout>
              </c:layout>
              <c:tx>
                <c:rich>
                  <a:bodyPr/>
                  <a:lstStyle/>
                  <a:p>
                    <a:fld id="{DB8585D7-0CA0-4FD7-8C9D-AB98BF081ED0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151C3268-AB56-4E6E-A477-EC1E902C7C9D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76B-4B27-AA90-053B8BB1CB0E}"/>
                </c:ext>
              </c:extLst>
            </c:dLbl>
            <c:dLbl>
              <c:idx val="3"/>
              <c:layout>
                <c:manualLayout>
                  <c:x val="-0.11364836755811411"/>
                  <c:y val="-0.1398776393912941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D6855FB-226E-456A-B17C-916A6BE19E06}" type="CATEGORYNAME">
                      <a:rPr lang="uk-UA" b="1"/>
                      <a:pPr>
                        <a:defRPr b="1"/>
                      </a:pPr>
                      <a:t>[ІМ’Я КАТЕГОРІЇ]</a:t>
                    </a:fld>
                    <a:r>
                      <a:rPr lang="uk-UA" b="1" baseline="0"/>
                      <a:t>;</a:t>
                    </a:r>
                  </a:p>
                  <a:p>
                    <a:pPr>
                      <a:defRPr b="1"/>
                    </a:pPr>
                    <a:r>
                      <a:rPr lang="uk-UA" b="1" baseline="0"/>
                      <a:t> </a:t>
                    </a:r>
                    <a:fld id="{35585D0B-6E89-4299-8E63-F9F935E4D1F8}" type="VALUE">
                      <a:rPr lang="uk-UA" b="1" baseline="0"/>
                      <a:pPr>
                        <a:defRPr b="1"/>
                      </a:pPr>
                      <a:t>[ЗНАЧЕННЯ]</a:t>
                    </a:fld>
                    <a:r>
                      <a:rPr lang="uk-UA" b="1" baseline="0"/>
                      <a:t>; 12,8%</a:t>
                    </a:r>
                  </a:p>
                </c:rich>
              </c:tx>
              <c:numFmt formatCode="0.0%" sourceLinked="0"/>
              <c:spPr>
                <a:solidFill>
                  <a:sysClr val="window" lastClr="FFFFFF"/>
                </a:solidFill>
                <a:ln cap="rnd">
                  <a:solidFill>
                    <a:sysClr val="windowText" lastClr="000000">
                      <a:lumMod val="65000"/>
                      <a:lumOff val="35000"/>
                    </a:sys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ound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3379079966101415"/>
                      <c:h val="0.181743747548797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76B-4B27-AA90-053B8BB1CB0E}"/>
                </c:ext>
              </c:extLst>
            </c:dLbl>
            <c:dLbl>
              <c:idx val="4"/>
              <c:layout>
                <c:manualLayout>
                  <c:x val="4.8245614035087717E-2"/>
                  <c:y val="0.21367521367521358"/>
                </c:manualLayout>
              </c:layout>
              <c:tx>
                <c:rich>
                  <a:bodyPr/>
                  <a:lstStyle/>
                  <a:p>
                    <a:fld id="{9AA97E53-22AA-40D7-BE8C-3FABD8D7E73F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aseline="0"/>
                      <a:t> </a:t>
                    </a:r>
                    <a:fld id="{D5EB8477-6F8F-4D7E-AA7C-509DD357E306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</a:t>
                    </a:r>
                    <a:fld id="{8FD2199F-FE68-47A7-A594-0B754661AD77}" type="PERCENTAGE">
                      <a:rPr lang="uk-UA" baseline="0"/>
                      <a:pPr/>
                      <a:t>[ВІДСОТОК]</a:t>
                    </a:fld>
                    <a:endParaRPr lang="uk-UA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76B-4B27-AA90-053B8BB1CB0E}"/>
                </c:ext>
              </c:extLst>
            </c:dLbl>
            <c:dLbl>
              <c:idx val="5"/>
              <c:layout>
                <c:manualLayout>
                  <c:x val="0.2610633168755393"/>
                  <c:y val="6.1181058569013611E-3"/>
                </c:manualLayout>
              </c:layout>
              <c:numFmt formatCode="0.0%" sourceLinked="0"/>
              <c:spPr>
                <a:solidFill>
                  <a:sysClr val="window" lastClr="FFFFFF"/>
                </a:solidFill>
                <a:ln cap="rnd">
                  <a:solidFill>
                    <a:sysClr val="windowText" lastClr="000000">
                      <a:lumMod val="65000"/>
                      <a:lumOff val="35000"/>
                    </a:sys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ound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748788454734689"/>
                      <c:h val="0.167287839020122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8DD9-4E18-AB97-73AEB5FD5A5D}"/>
                </c:ext>
              </c:extLst>
            </c:dLbl>
            <c:numFmt formatCode="0.0%" sourceLinked="0"/>
            <c:spPr>
              <a:solidFill>
                <a:sysClr val="window" lastClr="FFFFFF"/>
              </a:solidFill>
              <a:ln cap="rnd">
                <a:solidFill>
                  <a:sysClr val="windowText" lastClr="000000">
                    <a:lumMod val="65000"/>
                    <a:lumOff val="35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ound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Заробітна
плата</c:v>
                </c:pt>
                <c:pt idx="1">
                  <c:v>Енергоносії</c:v>
                </c:pt>
                <c:pt idx="2">
                  <c:v>Продукти, медикаменти</c:v>
                </c:pt>
                <c:pt idx="3">
                  <c:v>Інші видатки</c:v>
                </c:pt>
                <c:pt idx="4">
                  <c:v>Поточні трансферти</c:v>
                </c:pt>
                <c:pt idx="5">
                  <c:v>Соцзабезпечення</c:v>
                </c:pt>
              </c:strCache>
            </c:strRef>
          </c:cat>
          <c:val>
            <c:numRef>
              <c:f>Sheet1!$B$2:$B$7</c:f>
              <c:numCache>
                <c:formatCode>#,##0.0</c:formatCode>
                <c:ptCount val="6"/>
                <c:pt idx="0">
                  <c:v>94310.3</c:v>
                </c:pt>
                <c:pt idx="1">
                  <c:v>10028.4</c:v>
                </c:pt>
                <c:pt idx="2">
                  <c:v>1763.98</c:v>
                </c:pt>
                <c:pt idx="3">
                  <c:v>8681.4</c:v>
                </c:pt>
                <c:pt idx="4">
                  <c:v>8622.9</c:v>
                </c:pt>
                <c:pt idx="5">
                  <c:v>2368.3000000000002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76B-4B27-AA90-053B8BB1C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14"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77FA9D-2975-4748-A5B9-A1AAB389F70D}" type="doc">
      <dgm:prSet loTypeId="urn:microsoft.com/office/officeart/2005/8/layout/radial6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CA7B6016-7F9F-47B4-BDAC-D400AA23E4C4}">
      <dgm:prSet phldrT="[Текст]" custT="1"/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r>
            <a:rPr lang="ru-RU" sz="1400" b="1">
              <a:solidFill>
                <a:schemeClr val="tx1"/>
              </a:solidFill>
            </a:rPr>
            <a:t>Спецфонд</a:t>
          </a:r>
        </a:p>
        <a:p>
          <a:r>
            <a:rPr lang="ru-RU" sz="1400" b="1">
              <a:solidFill>
                <a:schemeClr val="tx1"/>
              </a:solidFill>
            </a:rPr>
            <a:t>8 795,6 тис.грн.</a:t>
          </a:r>
        </a:p>
      </dgm:t>
    </dgm:pt>
    <dgm:pt modelId="{C3DBC7D2-899A-4FE4-803A-13A0D5719FDA}" type="parTrans" cxnId="{DB442179-DB60-41A7-BB06-12D9A177F09C}">
      <dgm:prSet/>
      <dgm:spPr/>
      <dgm:t>
        <a:bodyPr/>
        <a:lstStyle/>
        <a:p>
          <a:endParaRPr lang="ru-RU"/>
        </a:p>
      </dgm:t>
    </dgm:pt>
    <dgm:pt modelId="{435F7E37-FD5F-413F-B711-F6A80F5D1B1C}" type="sibTrans" cxnId="{DB442179-DB60-41A7-BB06-12D9A177F09C}">
      <dgm:prSet/>
      <dgm:spPr/>
      <dgm:t>
        <a:bodyPr/>
        <a:lstStyle/>
        <a:p>
          <a:endParaRPr lang="ru-RU"/>
        </a:p>
      </dgm:t>
    </dgm:pt>
    <dgm:pt modelId="{95773083-5040-4EFE-9762-D73CDCBB1525}">
      <dgm:prSet phldrT="[Текст]" custT="1"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Екологія 131,9 тис.грн.</a:t>
          </a:r>
        </a:p>
      </dgm:t>
    </dgm:pt>
    <dgm:pt modelId="{C3954405-83DC-439C-BD50-5968A24529BF}" type="parTrans" cxnId="{A1A2C4DB-6EEC-4557-932E-73B736580066}">
      <dgm:prSet/>
      <dgm:spPr/>
      <dgm:t>
        <a:bodyPr/>
        <a:lstStyle/>
        <a:p>
          <a:endParaRPr lang="ru-RU"/>
        </a:p>
      </dgm:t>
    </dgm:pt>
    <dgm:pt modelId="{A0204D23-51DB-408E-A8A6-637A8B72EFE8}" type="sibTrans" cxnId="{A1A2C4DB-6EEC-4557-932E-73B736580066}">
      <dgm:prSet/>
      <dgm:spPr>
        <a:ln>
          <a:solidFill>
            <a:srgbClr val="7030A0"/>
          </a:solidFill>
        </a:ln>
      </dgm:spPr>
      <dgm:t>
        <a:bodyPr/>
        <a:lstStyle/>
        <a:p>
          <a:endParaRPr lang="ru-RU"/>
        </a:p>
      </dgm:t>
    </dgm:pt>
    <dgm:pt modelId="{872A17F4-C8AF-4563-AB3F-B8B53F5A07CC}">
      <dgm:prSet phldrT="[Текст]"/>
      <dgm:spPr>
        <a:solidFill>
          <a:srgbClr val="FFFF00"/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Грошові стягнення 3,9 тис.грн.</a:t>
          </a:r>
        </a:p>
      </dgm:t>
    </dgm:pt>
    <dgm:pt modelId="{34A698EF-0761-47DE-9CBB-327B24C8F75E}" type="parTrans" cxnId="{77A7B00C-0B3B-4215-8E2B-DB1F79561348}">
      <dgm:prSet/>
      <dgm:spPr/>
      <dgm:t>
        <a:bodyPr/>
        <a:lstStyle/>
        <a:p>
          <a:endParaRPr lang="ru-RU"/>
        </a:p>
      </dgm:t>
    </dgm:pt>
    <dgm:pt modelId="{24B03A09-54F1-4116-A766-98B9A17D0515}" type="sibTrans" cxnId="{77A7B00C-0B3B-4215-8E2B-DB1F79561348}">
      <dgm:prSet/>
      <dgm:spPr>
        <a:ln>
          <a:solidFill>
            <a:srgbClr val="7030A0"/>
          </a:solidFill>
        </a:ln>
      </dgm:spPr>
      <dgm:t>
        <a:bodyPr/>
        <a:lstStyle/>
        <a:p>
          <a:endParaRPr lang="ru-RU"/>
        </a:p>
      </dgm:t>
    </dgm:pt>
    <dgm:pt modelId="{F5E96557-ADBD-4FA1-BB6F-A1598000B84A}">
      <dgm:prSet phldrT="[Текст]" custT="1"/>
      <dgm:spPr>
        <a:ln>
          <a:solidFill>
            <a:srgbClr val="7030A0"/>
          </a:solidFill>
        </a:ln>
      </dgm:spPr>
      <dgm:t>
        <a:bodyPr>
          <a:scene3d>
            <a:camera prst="orthographicFront"/>
            <a:lightRig rig="threePt" dir="t"/>
          </a:scene3d>
          <a:sp3d extrusionH="57150">
            <a:bevelT w="57150" h="38100" prst="artDeco"/>
          </a:sp3d>
        </a:bodyPr>
        <a:lstStyle/>
        <a:p>
          <a:r>
            <a:rPr lang="ru-RU" sz="1600" b="1">
              <a:solidFill>
                <a:sysClr val="windowText" lastClr="000000"/>
              </a:solidFill>
            </a:rPr>
            <a:t>Власні</a:t>
          </a:r>
        </a:p>
        <a:p>
          <a:r>
            <a:rPr lang="ru-RU" sz="1600" b="1">
              <a:solidFill>
                <a:sysClr val="windowText" lastClr="000000"/>
              </a:solidFill>
            </a:rPr>
            <a:t>6 694,5 тис.грн.</a:t>
          </a:r>
        </a:p>
      </dgm:t>
    </dgm:pt>
    <dgm:pt modelId="{3F0B9CFF-27E5-4176-B5B8-43704617A172}" type="parTrans" cxnId="{6912BC88-CEFD-4196-AE36-173CB3D84098}">
      <dgm:prSet/>
      <dgm:spPr/>
      <dgm:t>
        <a:bodyPr/>
        <a:lstStyle/>
        <a:p>
          <a:endParaRPr lang="ru-RU"/>
        </a:p>
      </dgm:t>
    </dgm:pt>
    <dgm:pt modelId="{D8138ACE-0418-4E9E-A28C-DB301CF28394}" type="sibTrans" cxnId="{6912BC88-CEFD-4196-AE36-173CB3D84098}">
      <dgm:prSet/>
      <dgm:spPr>
        <a:ln>
          <a:solidFill>
            <a:srgbClr val="7030A0"/>
          </a:solidFill>
        </a:ln>
      </dgm:spPr>
      <dgm:t>
        <a:bodyPr/>
        <a:lstStyle/>
        <a:p>
          <a:endParaRPr lang="ru-RU"/>
        </a:p>
      </dgm:t>
    </dgm:pt>
    <dgm:pt modelId="{CDC7C3BF-46F0-4AFA-9554-782C51BE43AD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Субвенція 831,7 тис. грн.</a:t>
          </a:r>
        </a:p>
      </dgm:t>
    </dgm:pt>
    <dgm:pt modelId="{C28D3F94-4771-4027-A738-F98A6B39490E}" type="parTrans" cxnId="{08956D8D-8D26-4FB1-8A48-97EDF67FBB91}">
      <dgm:prSet/>
      <dgm:spPr/>
      <dgm:t>
        <a:bodyPr/>
        <a:lstStyle/>
        <a:p>
          <a:endParaRPr lang="ru-RU"/>
        </a:p>
      </dgm:t>
    </dgm:pt>
    <dgm:pt modelId="{19AFCCC7-84E4-4049-98B2-077950E1C97D}" type="sibTrans" cxnId="{08956D8D-8D26-4FB1-8A48-97EDF67FBB91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216583F2-1CAD-40AA-AC0A-0FE3C83FFF1D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Цільові фонди</a:t>
          </a:r>
        </a:p>
        <a:p>
          <a:r>
            <a:rPr lang="ru-RU" sz="1400" b="1">
              <a:solidFill>
                <a:sysClr val="windowText" lastClr="000000"/>
              </a:solidFill>
            </a:rPr>
            <a:t>  1 133,6 тис. грн.</a:t>
          </a:r>
        </a:p>
      </dgm:t>
    </dgm:pt>
    <dgm:pt modelId="{46FB8E26-4B84-4A88-AAEA-B1D411690D0B}" type="sibTrans" cxnId="{8604AC39-8927-4D81-B2F2-FC06FB665FA5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B8BB61AD-9CA4-40EB-8389-604BDCE80E95}" type="parTrans" cxnId="{8604AC39-8927-4D81-B2F2-FC06FB665FA5}">
      <dgm:prSet/>
      <dgm:spPr/>
      <dgm:t>
        <a:bodyPr/>
        <a:lstStyle/>
        <a:p>
          <a:endParaRPr lang="ru-RU"/>
        </a:p>
      </dgm:t>
    </dgm:pt>
    <dgm:pt modelId="{DDEBD8D4-5117-4F92-8C56-5A6E250AD46D}" type="pres">
      <dgm:prSet presAssocID="{8977FA9D-2975-4748-A5B9-A1AAB389F70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BA6791-9B57-4D7B-B6D8-C9F2F7279733}" type="pres">
      <dgm:prSet presAssocID="{CA7B6016-7F9F-47B4-BDAC-D400AA23E4C4}" presName="centerShape" presStyleLbl="node0" presStyleIdx="0" presStyleCnt="1" custScaleX="128421" custScaleY="119423"/>
      <dgm:spPr/>
      <dgm:t>
        <a:bodyPr/>
        <a:lstStyle/>
        <a:p>
          <a:endParaRPr lang="ru-RU"/>
        </a:p>
      </dgm:t>
    </dgm:pt>
    <dgm:pt modelId="{E571AA91-19D7-4317-9F29-CE4F2A492DC9}" type="pres">
      <dgm:prSet presAssocID="{95773083-5040-4EFE-9762-D73CDCBB1525}" presName="node" presStyleLbl="node1" presStyleIdx="0" presStyleCnt="5" custScaleX="124341" custScaleY="1146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B65F90-7A08-4FBD-B034-15CA09F81E4B}" type="pres">
      <dgm:prSet presAssocID="{95773083-5040-4EFE-9762-D73CDCBB1525}" presName="dummy" presStyleCnt="0"/>
      <dgm:spPr/>
    </dgm:pt>
    <dgm:pt modelId="{2A53E481-DC48-4E3E-AB55-CCC1D34ECE23}" type="pres">
      <dgm:prSet presAssocID="{A0204D23-51DB-408E-A8A6-637A8B72EFE8}" presName="sibTrans" presStyleLbl="sibTrans2D1" presStyleIdx="0" presStyleCnt="5"/>
      <dgm:spPr/>
      <dgm:t>
        <a:bodyPr/>
        <a:lstStyle/>
        <a:p>
          <a:endParaRPr lang="ru-RU"/>
        </a:p>
      </dgm:t>
    </dgm:pt>
    <dgm:pt modelId="{483F067E-EB1F-4C1A-AA67-AC308CF30AB2}" type="pres">
      <dgm:prSet presAssocID="{216583F2-1CAD-40AA-AC0A-0FE3C83FFF1D}" presName="node" presStyleLbl="node1" presStyleIdx="1" presStyleCnt="5" custScaleX="163426" custScaleY="1381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F5C11B-F2E7-491D-A6B1-8751D6B018DA}" type="pres">
      <dgm:prSet presAssocID="{216583F2-1CAD-40AA-AC0A-0FE3C83FFF1D}" presName="dummy" presStyleCnt="0"/>
      <dgm:spPr/>
    </dgm:pt>
    <dgm:pt modelId="{F0A4E775-E5F2-40FC-804E-5AF336C74F5A}" type="pres">
      <dgm:prSet presAssocID="{46FB8E26-4B84-4A88-AAEA-B1D411690D0B}" presName="sibTrans" presStyleLbl="sibTrans2D1" presStyleIdx="1" presStyleCnt="5"/>
      <dgm:spPr/>
      <dgm:t>
        <a:bodyPr/>
        <a:lstStyle/>
        <a:p>
          <a:endParaRPr lang="ru-RU"/>
        </a:p>
      </dgm:t>
    </dgm:pt>
    <dgm:pt modelId="{B9C64130-0DD8-434E-81BE-E7980D7CBC8E}" type="pres">
      <dgm:prSet presAssocID="{872A17F4-C8AF-4563-AB3F-B8B53F5A07CC}" presName="node" presStyleLbl="node1" presStyleIdx="2" presStyleCnt="5" custScaleX="119292" custScaleY="1017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E998B1-7512-49EE-8CCE-6C11EB39B684}" type="pres">
      <dgm:prSet presAssocID="{872A17F4-C8AF-4563-AB3F-B8B53F5A07CC}" presName="dummy" presStyleCnt="0"/>
      <dgm:spPr/>
    </dgm:pt>
    <dgm:pt modelId="{FF6400E7-443D-4184-AFF8-B32869F172E2}" type="pres">
      <dgm:prSet presAssocID="{24B03A09-54F1-4116-A766-98B9A17D0515}" presName="sibTrans" presStyleLbl="sibTrans2D1" presStyleIdx="2" presStyleCnt="5"/>
      <dgm:spPr/>
      <dgm:t>
        <a:bodyPr/>
        <a:lstStyle/>
        <a:p>
          <a:endParaRPr lang="ru-RU"/>
        </a:p>
      </dgm:t>
    </dgm:pt>
    <dgm:pt modelId="{309CF16B-1DDA-49B0-8D8E-4DBAD0D6999E}" type="pres">
      <dgm:prSet presAssocID="{F5E96557-ADBD-4FA1-BB6F-A1598000B84A}" presName="node" presStyleLbl="node1" presStyleIdx="3" presStyleCnt="5" custScaleX="196399" custScaleY="155607" custRadScaleRad="101930" custRadScaleInc="15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EACDDC-9235-4135-A9B6-74F2345B4805}" type="pres">
      <dgm:prSet presAssocID="{F5E96557-ADBD-4FA1-BB6F-A1598000B84A}" presName="dummy" presStyleCnt="0"/>
      <dgm:spPr/>
    </dgm:pt>
    <dgm:pt modelId="{B3E5C5A6-640F-49FB-8AA8-F6E559D92EE3}" type="pres">
      <dgm:prSet presAssocID="{D8138ACE-0418-4E9E-A28C-DB301CF28394}" presName="sibTrans" presStyleLbl="sibTrans2D1" presStyleIdx="3" presStyleCnt="5"/>
      <dgm:spPr/>
      <dgm:t>
        <a:bodyPr/>
        <a:lstStyle/>
        <a:p>
          <a:endParaRPr lang="ru-RU"/>
        </a:p>
      </dgm:t>
    </dgm:pt>
    <dgm:pt modelId="{91824E9D-37AA-4178-B2BC-1336EB25634F}" type="pres">
      <dgm:prSet presAssocID="{CDC7C3BF-46F0-4AFA-9554-782C51BE43AD}" presName="node" presStyleLbl="node1" presStyleIdx="4" presStyleCnt="5" custScaleX="146644" custScaleY="1249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D9EF53-10F8-4D94-ADEB-4E1B19135D57}" type="pres">
      <dgm:prSet presAssocID="{CDC7C3BF-46F0-4AFA-9554-782C51BE43AD}" presName="dummy" presStyleCnt="0"/>
      <dgm:spPr/>
    </dgm:pt>
    <dgm:pt modelId="{7A1629A4-CA6B-4070-9529-6ABDDD4AC987}" type="pres">
      <dgm:prSet presAssocID="{19AFCCC7-84E4-4049-98B2-077950E1C97D}" presName="sibTrans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A5670D78-05D1-452C-9761-53F9491EEEC4}" type="presOf" srcId="{95773083-5040-4EFE-9762-D73CDCBB1525}" destId="{E571AA91-19D7-4317-9F29-CE4F2A492DC9}" srcOrd="0" destOrd="0" presId="urn:microsoft.com/office/officeart/2005/8/layout/radial6"/>
    <dgm:cxn modelId="{6D4EF0E2-B2D9-4E91-BBDE-77FC0E4C25CE}" type="presOf" srcId="{A0204D23-51DB-408E-A8A6-637A8B72EFE8}" destId="{2A53E481-DC48-4E3E-AB55-CCC1D34ECE23}" srcOrd="0" destOrd="0" presId="urn:microsoft.com/office/officeart/2005/8/layout/radial6"/>
    <dgm:cxn modelId="{A1A2C4DB-6EEC-4557-932E-73B736580066}" srcId="{CA7B6016-7F9F-47B4-BDAC-D400AA23E4C4}" destId="{95773083-5040-4EFE-9762-D73CDCBB1525}" srcOrd="0" destOrd="0" parTransId="{C3954405-83DC-439C-BD50-5968A24529BF}" sibTransId="{A0204D23-51DB-408E-A8A6-637A8B72EFE8}"/>
    <dgm:cxn modelId="{66CA2EEA-4328-4740-976B-0C36C8331047}" type="presOf" srcId="{CA7B6016-7F9F-47B4-BDAC-D400AA23E4C4}" destId="{07BA6791-9B57-4D7B-B6D8-C9F2F7279733}" srcOrd="0" destOrd="0" presId="urn:microsoft.com/office/officeart/2005/8/layout/radial6"/>
    <dgm:cxn modelId="{77A7B00C-0B3B-4215-8E2B-DB1F79561348}" srcId="{CA7B6016-7F9F-47B4-BDAC-D400AA23E4C4}" destId="{872A17F4-C8AF-4563-AB3F-B8B53F5A07CC}" srcOrd="2" destOrd="0" parTransId="{34A698EF-0761-47DE-9CBB-327B24C8F75E}" sibTransId="{24B03A09-54F1-4116-A766-98B9A17D0515}"/>
    <dgm:cxn modelId="{6912BC88-CEFD-4196-AE36-173CB3D84098}" srcId="{CA7B6016-7F9F-47B4-BDAC-D400AA23E4C4}" destId="{F5E96557-ADBD-4FA1-BB6F-A1598000B84A}" srcOrd="3" destOrd="0" parTransId="{3F0B9CFF-27E5-4176-B5B8-43704617A172}" sibTransId="{D8138ACE-0418-4E9E-A28C-DB301CF28394}"/>
    <dgm:cxn modelId="{08956D8D-8D26-4FB1-8A48-97EDF67FBB91}" srcId="{CA7B6016-7F9F-47B4-BDAC-D400AA23E4C4}" destId="{CDC7C3BF-46F0-4AFA-9554-782C51BE43AD}" srcOrd="4" destOrd="0" parTransId="{C28D3F94-4771-4027-A738-F98A6B39490E}" sibTransId="{19AFCCC7-84E4-4049-98B2-077950E1C97D}"/>
    <dgm:cxn modelId="{1A4BEE99-995A-4266-BB81-DFEB2F860E68}" type="presOf" srcId="{F5E96557-ADBD-4FA1-BB6F-A1598000B84A}" destId="{309CF16B-1DDA-49B0-8D8E-4DBAD0D6999E}" srcOrd="0" destOrd="0" presId="urn:microsoft.com/office/officeart/2005/8/layout/radial6"/>
    <dgm:cxn modelId="{45CD9E21-A8B0-4AE5-A5B0-13574186D7CB}" type="presOf" srcId="{CDC7C3BF-46F0-4AFA-9554-782C51BE43AD}" destId="{91824E9D-37AA-4178-B2BC-1336EB25634F}" srcOrd="0" destOrd="0" presId="urn:microsoft.com/office/officeart/2005/8/layout/radial6"/>
    <dgm:cxn modelId="{260714AE-02B5-4250-9F18-127F32EB2D96}" type="presOf" srcId="{216583F2-1CAD-40AA-AC0A-0FE3C83FFF1D}" destId="{483F067E-EB1F-4C1A-AA67-AC308CF30AB2}" srcOrd="0" destOrd="0" presId="urn:microsoft.com/office/officeart/2005/8/layout/radial6"/>
    <dgm:cxn modelId="{01978FC1-1DFF-4FBF-A417-9A6918C3792F}" type="presOf" srcId="{872A17F4-C8AF-4563-AB3F-B8B53F5A07CC}" destId="{B9C64130-0DD8-434E-81BE-E7980D7CBC8E}" srcOrd="0" destOrd="0" presId="urn:microsoft.com/office/officeart/2005/8/layout/radial6"/>
    <dgm:cxn modelId="{8604AC39-8927-4D81-B2F2-FC06FB665FA5}" srcId="{CA7B6016-7F9F-47B4-BDAC-D400AA23E4C4}" destId="{216583F2-1CAD-40AA-AC0A-0FE3C83FFF1D}" srcOrd="1" destOrd="0" parTransId="{B8BB61AD-9CA4-40EB-8389-604BDCE80E95}" sibTransId="{46FB8E26-4B84-4A88-AAEA-B1D411690D0B}"/>
    <dgm:cxn modelId="{37577EF9-70D0-45DC-B52A-91271185406A}" type="presOf" srcId="{24B03A09-54F1-4116-A766-98B9A17D0515}" destId="{FF6400E7-443D-4184-AFF8-B32869F172E2}" srcOrd="0" destOrd="0" presId="urn:microsoft.com/office/officeart/2005/8/layout/radial6"/>
    <dgm:cxn modelId="{DB442179-DB60-41A7-BB06-12D9A177F09C}" srcId="{8977FA9D-2975-4748-A5B9-A1AAB389F70D}" destId="{CA7B6016-7F9F-47B4-BDAC-D400AA23E4C4}" srcOrd="0" destOrd="0" parTransId="{C3DBC7D2-899A-4FE4-803A-13A0D5719FDA}" sibTransId="{435F7E37-FD5F-413F-B711-F6A80F5D1B1C}"/>
    <dgm:cxn modelId="{7C71F652-DF8F-4396-9402-767D2A17A802}" type="presOf" srcId="{46FB8E26-4B84-4A88-AAEA-B1D411690D0B}" destId="{F0A4E775-E5F2-40FC-804E-5AF336C74F5A}" srcOrd="0" destOrd="0" presId="urn:microsoft.com/office/officeart/2005/8/layout/radial6"/>
    <dgm:cxn modelId="{77E4715C-DA7E-4751-A5B7-F148C9258A97}" type="presOf" srcId="{8977FA9D-2975-4748-A5B9-A1AAB389F70D}" destId="{DDEBD8D4-5117-4F92-8C56-5A6E250AD46D}" srcOrd="0" destOrd="0" presId="urn:microsoft.com/office/officeart/2005/8/layout/radial6"/>
    <dgm:cxn modelId="{D435AE9A-55D9-4AF6-A658-72BB386FEE9B}" type="presOf" srcId="{D8138ACE-0418-4E9E-A28C-DB301CF28394}" destId="{B3E5C5A6-640F-49FB-8AA8-F6E559D92EE3}" srcOrd="0" destOrd="0" presId="urn:microsoft.com/office/officeart/2005/8/layout/radial6"/>
    <dgm:cxn modelId="{CD17A7CC-85FB-4550-9F83-0C0EF658E58B}" type="presOf" srcId="{19AFCCC7-84E4-4049-98B2-077950E1C97D}" destId="{7A1629A4-CA6B-4070-9529-6ABDDD4AC987}" srcOrd="0" destOrd="0" presId="urn:microsoft.com/office/officeart/2005/8/layout/radial6"/>
    <dgm:cxn modelId="{E9028A64-4543-4C88-86A8-580F3BC8E244}" type="presParOf" srcId="{DDEBD8D4-5117-4F92-8C56-5A6E250AD46D}" destId="{07BA6791-9B57-4D7B-B6D8-C9F2F7279733}" srcOrd="0" destOrd="0" presId="urn:microsoft.com/office/officeart/2005/8/layout/radial6"/>
    <dgm:cxn modelId="{18DBFB9A-8C89-4EBD-85FD-EFBAB7ECB813}" type="presParOf" srcId="{DDEBD8D4-5117-4F92-8C56-5A6E250AD46D}" destId="{E571AA91-19D7-4317-9F29-CE4F2A492DC9}" srcOrd="1" destOrd="0" presId="urn:microsoft.com/office/officeart/2005/8/layout/radial6"/>
    <dgm:cxn modelId="{6CFB3B18-F177-426E-8CB0-15B8669A2D3C}" type="presParOf" srcId="{DDEBD8D4-5117-4F92-8C56-5A6E250AD46D}" destId="{BFB65F90-7A08-4FBD-B034-15CA09F81E4B}" srcOrd="2" destOrd="0" presId="urn:microsoft.com/office/officeart/2005/8/layout/radial6"/>
    <dgm:cxn modelId="{A56CA4FB-E502-4105-9762-E4BD55D50386}" type="presParOf" srcId="{DDEBD8D4-5117-4F92-8C56-5A6E250AD46D}" destId="{2A53E481-DC48-4E3E-AB55-CCC1D34ECE23}" srcOrd="3" destOrd="0" presId="urn:microsoft.com/office/officeart/2005/8/layout/radial6"/>
    <dgm:cxn modelId="{B4738F86-36AF-468D-8DC4-015A815C545D}" type="presParOf" srcId="{DDEBD8D4-5117-4F92-8C56-5A6E250AD46D}" destId="{483F067E-EB1F-4C1A-AA67-AC308CF30AB2}" srcOrd="4" destOrd="0" presId="urn:microsoft.com/office/officeart/2005/8/layout/radial6"/>
    <dgm:cxn modelId="{BD15A579-7115-4400-9EA3-04C8396E1493}" type="presParOf" srcId="{DDEBD8D4-5117-4F92-8C56-5A6E250AD46D}" destId="{69F5C11B-F2E7-491D-A6B1-8751D6B018DA}" srcOrd="5" destOrd="0" presId="urn:microsoft.com/office/officeart/2005/8/layout/radial6"/>
    <dgm:cxn modelId="{1E4F8AA2-80F7-4661-9F6C-07800474A018}" type="presParOf" srcId="{DDEBD8D4-5117-4F92-8C56-5A6E250AD46D}" destId="{F0A4E775-E5F2-40FC-804E-5AF336C74F5A}" srcOrd="6" destOrd="0" presId="urn:microsoft.com/office/officeart/2005/8/layout/radial6"/>
    <dgm:cxn modelId="{9B0B6435-39D5-4D2C-843D-AC7EDE8044B7}" type="presParOf" srcId="{DDEBD8D4-5117-4F92-8C56-5A6E250AD46D}" destId="{B9C64130-0DD8-434E-81BE-E7980D7CBC8E}" srcOrd="7" destOrd="0" presId="urn:microsoft.com/office/officeart/2005/8/layout/radial6"/>
    <dgm:cxn modelId="{74D5C143-5716-452E-A513-839F48E6EC1C}" type="presParOf" srcId="{DDEBD8D4-5117-4F92-8C56-5A6E250AD46D}" destId="{B8E998B1-7512-49EE-8CCE-6C11EB39B684}" srcOrd="8" destOrd="0" presId="urn:microsoft.com/office/officeart/2005/8/layout/radial6"/>
    <dgm:cxn modelId="{9741C883-2A52-47EC-BF84-3CCB57FB0BBC}" type="presParOf" srcId="{DDEBD8D4-5117-4F92-8C56-5A6E250AD46D}" destId="{FF6400E7-443D-4184-AFF8-B32869F172E2}" srcOrd="9" destOrd="0" presId="urn:microsoft.com/office/officeart/2005/8/layout/radial6"/>
    <dgm:cxn modelId="{63662085-5E29-4E40-964F-48DCB4CBC124}" type="presParOf" srcId="{DDEBD8D4-5117-4F92-8C56-5A6E250AD46D}" destId="{309CF16B-1DDA-49B0-8D8E-4DBAD0D6999E}" srcOrd="10" destOrd="0" presId="urn:microsoft.com/office/officeart/2005/8/layout/radial6"/>
    <dgm:cxn modelId="{943752A0-B170-44C6-AFF6-689CC5AD85E1}" type="presParOf" srcId="{DDEBD8D4-5117-4F92-8C56-5A6E250AD46D}" destId="{49EACDDC-9235-4135-A9B6-74F2345B4805}" srcOrd="11" destOrd="0" presId="urn:microsoft.com/office/officeart/2005/8/layout/radial6"/>
    <dgm:cxn modelId="{F1131E43-0BEB-4B4D-9782-B5270F212D86}" type="presParOf" srcId="{DDEBD8D4-5117-4F92-8C56-5A6E250AD46D}" destId="{B3E5C5A6-640F-49FB-8AA8-F6E559D92EE3}" srcOrd="12" destOrd="0" presId="urn:microsoft.com/office/officeart/2005/8/layout/radial6"/>
    <dgm:cxn modelId="{D71AD863-432E-4118-8FE5-54B6610FE616}" type="presParOf" srcId="{DDEBD8D4-5117-4F92-8C56-5A6E250AD46D}" destId="{91824E9D-37AA-4178-B2BC-1336EB25634F}" srcOrd="13" destOrd="0" presId="urn:microsoft.com/office/officeart/2005/8/layout/radial6"/>
    <dgm:cxn modelId="{A827EAF1-A889-4D82-9FFD-046FA31E45CB}" type="presParOf" srcId="{DDEBD8D4-5117-4F92-8C56-5A6E250AD46D}" destId="{FED9EF53-10F8-4D94-ADEB-4E1B19135D57}" srcOrd="14" destOrd="0" presId="urn:microsoft.com/office/officeart/2005/8/layout/radial6"/>
    <dgm:cxn modelId="{C533705C-05E4-487E-9522-0909F9A9D99A}" type="presParOf" srcId="{DDEBD8D4-5117-4F92-8C56-5A6E250AD46D}" destId="{7A1629A4-CA6B-4070-9529-6ABDDD4AC987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1629A4-CA6B-4070-9529-6ABDDD4AC987}">
      <dsp:nvSpPr>
        <dsp:cNvPr id="0" name=""/>
        <dsp:cNvSpPr/>
      </dsp:nvSpPr>
      <dsp:spPr>
        <a:xfrm>
          <a:off x="1689525" y="324224"/>
          <a:ext cx="2682567" cy="2682567"/>
        </a:xfrm>
        <a:prstGeom prst="blockArc">
          <a:avLst>
            <a:gd name="adj1" fmla="val 11880000"/>
            <a:gd name="adj2" fmla="val 16200000"/>
            <a:gd name="adj3" fmla="val 4637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E5C5A6-640F-49FB-8AA8-F6E559D92EE3}">
      <dsp:nvSpPr>
        <dsp:cNvPr id="0" name=""/>
        <dsp:cNvSpPr/>
      </dsp:nvSpPr>
      <dsp:spPr>
        <a:xfrm>
          <a:off x="1685220" y="337242"/>
          <a:ext cx="2682567" cy="2682567"/>
        </a:xfrm>
        <a:prstGeom prst="blockArc">
          <a:avLst>
            <a:gd name="adj1" fmla="val 7617452"/>
            <a:gd name="adj2" fmla="val 11915976"/>
            <a:gd name="adj3" fmla="val 4637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>
          <a:solidFill>
            <a:srgbClr val="7030A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6400E7-443D-4184-AFF8-B32869F172E2}">
      <dsp:nvSpPr>
        <dsp:cNvPr id="0" name=""/>
        <dsp:cNvSpPr/>
      </dsp:nvSpPr>
      <dsp:spPr>
        <a:xfrm>
          <a:off x="1678569" y="332271"/>
          <a:ext cx="2682567" cy="2682567"/>
        </a:xfrm>
        <a:prstGeom prst="blockArc">
          <a:avLst>
            <a:gd name="adj1" fmla="val 3204334"/>
            <a:gd name="adj2" fmla="val 7595666"/>
            <a:gd name="adj3" fmla="val 4637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solidFill>
            <a:srgbClr val="7030A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A4E775-E5F2-40FC-804E-5AF336C74F5A}">
      <dsp:nvSpPr>
        <dsp:cNvPr id="0" name=""/>
        <dsp:cNvSpPr/>
      </dsp:nvSpPr>
      <dsp:spPr>
        <a:xfrm>
          <a:off x="1689525" y="324224"/>
          <a:ext cx="2682567" cy="2682567"/>
        </a:xfrm>
        <a:prstGeom prst="blockArc">
          <a:avLst>
            <a:gd name="adj1" fmla="val 20520000"/>
            <a:gd name="adj2" fmla="val 3240000"/>
            <a:gd name="adj3" fmla="val 4637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3E481-DC48-4E3E-AB55-CCC1D34ECE23}">
      <dsp:nvSpPr>
        <dsp:cNvPr id="0" name=""/>
        <dsp:cNvSpPr/>
      </dsp:nvSpPr>
      <dsp:spPr>
        <a:xfrm>
          <a:off x="1689525" y="324224"/>
          <a:ext cx="2682567" cy="2682567"/>
        </a:xfrm>
        <a:prstGeom prst="blockArc">
          <a:avLst>
            <a:gd name="adj1" fmla="val 16200000"/>
            <a:gd name="adj2" fmla="val 20520000"/>
            <a:gd name="adj3" fmla="val 4637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solidFill>
            <a:srgbClr val="7030A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BA6791-9B57-4D7B-B6D8-C9F2F7279733}">
      <dsp:nvSpPr>
        <dsp:cNvPr id="0" name=""/>
        <dsp:cNvSpPr/>
      </dsp:nvSpPr>
      <dsp:spPr>
        <a:xfrm>
          <a:off x="2238446" y="928663"/>
          <a:ext cx="1584725" cy="147368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</a:rPr>
            <a:t>Спецфонд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</a:rPr>
            <a:t>8 795,6 тис.грн.</a:t>
          </a:r>
        </a:p>
      </dsp:txBody>
      <dsp:txXfrm>
        <a:off x="2470524" y="1144480"/>
        <a:ext cx="1120569" cy="1042055"/>
      </dsp:txXfrm>
    </dsp:sp>
    <dsp:sp modelId="{E571AA91-19D7-4317-9F29-CE4F2A492DC9}">
      <dsp:nvSpPr>
        <dsp:cNvPr id="0" name=""/>
        <dsp:cNvSpPr/>
      </dsp:nvSpPr>
      <dsp:spPr>
        <a:xfrm>
          <a:off x="2493776" y="-139993"/>
          <a:ext cx="1074064" cy="99062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Екологія 131,9 тис.грн.</a:t>
          </a:r>
        </a:p>
      </dsp:txBody>
      <dsp:txXfrm>
        <a:off x="2651069" y="5081"/>
        <a:ext cx="759478" cy="700481"/>
      </dsp:txXfrm>
    </dsp:sp>
    <dsp:sp modelId="{483F067E-EB1F-4C1A-AA67-AC308CF30AB2}">
      <dsp:nvSpPr>
        <dsp:cNvPr id="0" name=""/>
        <dsp:cNvSpPr/>
      </dsp:nvSpPr>
      <dsp:spPr>
        <a:xfrm>
          <a:off x="3571029" y="663899"/>
          <a:ext cx="1411683" cy="1193477"/>
        </a:xfrm>
        <a:prstGeom prst="ellipse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Цільові фонди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  1 133,6 тис. грн.</a:t>
          </a:r>
        </a:p>
      </dsp:txBody>
      <dsp:txXfrm>
        <a:off x="3777765" y="838680"/>
        <a:ext cx="998211" cy="843915"/>
      </dsp:txXfrm>
    </dsp:sp>
    <dsp:sp modelId="{B9C64130-0DD8-434E-81BE-E7980D7CBC8E}">
      <dsp:nvSpPr>
        <dsp:cNvPr id="0" name=""/>
        <dsp:cNvSpPr/>
      </dsp:nvSpPr>
      <dsp:spPr>
        <a:xfrm>
          <a:off x="3285691" y="2285859"/>
          <a:ext cx="1030451" cy="879224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</a:rPr>
            <a:t>Грошові стягнення 3,9 тис.грн.</a:t>
          </a:r>
        </a:p>
      </dsp:txBody>
      <dsp:txXfrm>
        <a:off x="3436597" y="2414618"/>
        <a:ext cx="728639" cy="621706"/>
      </dsp:txXfrm>
    </dsp:sp>
    <dsp:sp modelId="{309CF16B-1DDA-49B0-8D8E-4DBAD0D6999E}">
      <dsp:nvSpPr>
        <dsp:cNvPr id="0" name=""/>
        <dsp:cNvSpPr/>
      </dsp:nvSpPr>
      <dsp:spPr>
        <a:xfrm>
          <a:off x="1390536" y="2053400"/>
          <a:ext cx="1696506" cy="1344142"/>
        </a:xfrm>
        <a:prstGeom prst="ellipse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  <a:scene3d>
            <a:camera prst="orthographicFront"/>
            <a:lightRig rig="threePt" dir="t"/>
          </a:scene3d>
          <a:sp3d extrusionH="57150">
            <a:bevelT w="57150" h="38100" prst="artDeco"/>
          </a:sp3d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</a:rPr>
            <a:t>Власні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</a:rPr>
            <a:t>6 694,5 тис.грн.</a:t>
          </a:r>
        </a:p>
      </dsp:txBody>
      <dsp:txXfrm>
        <a:off x="1638984" y="2250245"/>
        <a:ext cx="1199610" cy="950452"/>
      </dsp:txXfrm>
    </dsp:sp>
    <dsp:sp modelId="{91824E9D-37AA-4178-B2BC-1336EB25634F}">
      <dsp:nvSpPr>
        <dsp:cNvPr id="0" name=""/>
        <dsp:cNvSpPr/>
      </dsp:nvSpPr>
      <dsp:spPr>
        <a:xfrm>
          <a:off x="1151387" y="721049"/>
          <a:ext cx="1266719" cy="1079178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Субвенція 831,7 тис. грн.</a:t>
          </a:r>
        </a:p>
      </dsp:txBody>
      <dsp:txXfrm>
        <a:off x="1336894" y="879091"/>
        <a:ext cx="895705" cy="763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0.37327</cdr:x>
      <cdr:y>0.1314</cdr:y>
    </cdr:from>
    <cdr:to>
      <cdr:x>0.62102</cdr:x>
      <cdr:y>0.22944</cdr:y>
    </cdr:to>
    <cdr:sp macro="" textlink="">
      <cdr:nvSpPr>
        <cdr:cNvPr id="2" name="Надпись 1"/>
        <cdr:cNvSpPr txBox="1"/>
      </cdr:nvSpPr>
      <cdr:spPr>
        <a:xfrm xmlns:a="http://schemas.openxmlformats.org/drawingml/2006/main" rot="20387651">
          <a:off x="2207416" y="450555"/>
          <a:ext cx="1465133" cy="336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+4 233,4; +12,2%</a:t>
          </a:r>
        </a:p>
      </cdr:txBody>
    </cdr:sp>
  </cdr:relSizeAnchor>
  <cdr:relSizeAnchor xmlns:cdr="http://schemas.openxmlformats.org/drawingml/2006/chartDrawing">
    <cdr:from>
      <cdr:x>0.40579</cdr:x>
      <cdr:y>0.3182</cdr:y>
    </cdr:from>
    <cdr:to>
      <cdr:x>0.62508</cdr:x>
      <cdr:y>0.42084</cdr:y>
    </cdr:to>
    <cdr:sp macro="" textlink="">
      <cdr:nvSpPr>
        <cdr:cNvPr id="3" name="Надпись 2"/>
        <cdr:cNvSpPr txBox="1"/>
      </cdr:nvSpPr>
      <cdr:spPr>
        <a:xfrm xmlns:a="http://schemas.openxmlformats.org/drawingml/2006/main" rot="980012">
          <a:off x="2399750" y="1185046"/>
          <a:ext cx="1296828" cy="3822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-1</a:t>
          </a:r>
          <a:r>
            <a:rPr lang="ru-RU" sz="1200" b="1" baseline="0">
              <a:solidFill>
                <a:sysClr val="windowText" lastClr="000000"/>
              </a:solidFill>
            </a:rPr>
            <a:t> 190,5</a:t>
          </a:r>
          <a:r>
            <a:rPr lang="ru-RU" sz="1200" b="1">
              <a:solidFill>
                <a:sysClr val="windowText" lastClr="000000"/>
              </a:solidFill>
            </a:rPr>
            <a:t>; -1,1%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0.3855</cdr:x>
      <cdr:y>0.34182</cdr:y>
    </cdr:from>
    <cdr:to>
      <cdr:x>0.64097</cdr:x>
      <cdr:y>0.43328</cdr:y>
    </cdr:to>
    <cdr:sp macro="" textlink="">
      <cdr:nvSpPr>
        <cdr:cNvPr id="3" name="Стрелка вправо с вырезом 2"/>
        <cdr:cNvSpPr/>
      </cdr:nvSpPr>
      <cdr:spPr>
        <a:xfrm xmlns:a="http://schemas.openxmlformats.org/drawingml/2006/main" rot="1283090">
          <a:off x="3133351" y="1852206"/>
          <a:ext cx="2076450" cy="495619"/>
        </a:xfrm>
        <a:prstGeom xmlns:a="http://schemas.openxmlformats.org/drawingml/2006/main" prst="notchedRightArrow">
          <a:avLst/>
        </a:prstGeom>
        <a:solidFill xmlns:a="http://schemas.openxmlformats.org/drawingml/2006/main">
          <a:srgbClr val="FFCC66"/>
        </a:solid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0.41128</cdr:x>
      <cdr:y>0.28036</cdr:y>
    </cdr:from>
    <cdr:to>
      <cdr:x>0.70191</cdr:x>
      <cdr:y>0.36825</cdr:y>
    </cdr:to>
    <cdr:sp macro="" textlink="">
      <cdr:nvSpPr>
        <cdr:cNvPr id="4" name="TextBox 3"/>
        <cdr:cNvSpPr txBox="1"/>
      </cdr:nvSpPr>
      <cdr:spPr>
        <a:xfrm xmlns:a="http://schemas.openxmlformats.org/drawingml/2006/main" rot="1272877">
          <a:off x="3342901" y="1519183"/>
          <a:ext cx="236220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uk-UA" sz="1400" b="1" dirty="0" smtClean="0">
              <a:solidFill>
                <a:schemeClr val="tx1"/>
              </a:solidFill>
            </a:rPr>
            <a:t>-7 484,0; 10,1 %</a:t>
          </a:r>
          <a:endParaRPr lang="en-US" sz="1400" b="1" dirty="0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F89C-B9A8-4A47-AB9A-0F409CFF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16</Pages>
  <Words>20551</Words>
  <Characters>11715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Server</cp:lastModifiedBy>
  <cp:revision>124</cp:revision>
  <cp:lastPrinted>2024-07-11T05:56:00Z</cp:lastPrinted>
  <dcterms:created xsi:type="dcterms:W3CDTF">2024-07-02T07:09:00Z</dcterms:created>
  <dcterms:modified xsi:type="dcterms:W3CDTF">2024-08-05T07:10:00Z</dcterms:modified>
</cp:coreProperties>
</file>